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2F" w:rsidRPr="006E4C2F" w:rsidRDefault="00A37C5C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 xml:space="preserve">Objaśnienia </w:t>
      </w:r>
      <w:bookmarkStart w:id="0" w:name="_GoBack"/>
      <w:bookmarkEnd w:id="0"/>
      <w:r w:rsidR="006E4C2F" w:rsidRPr="006E4C2F">
        <w:rPr>
          <w:rFonts w:ascii="Times New Roman" w:hAnsi="Times New Roman" w:cs="Times New Roman"/>
          <w:b/>
          <w:bCs/>
          <w:sz w:val="20"/>
          <w:szCs w:val="20"/>
        </w:rPr>
        <w:t>do Wieloletniej Prognozy Finansowej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Wieloletnia Prognoza Finansowa Gminy Sadki sporządzona została w oparciu o przepisy ustawy  z dnia 27 sierpnia 2009 roku o finansach publicznych. Obejmuje następujące lata: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-  wykonanie 2013 roku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-  wykonanie 2014 roku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-  Plan na 3 kwartały 2015 roku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-  wykonanie 2015 roku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4C2F">
        <w:rPr>
          <w:rFonts w:ascii="Times New Roman" w:hAnsi="Times New Roman" w:cs="Times New Roman"/>
          <w:b/>
          <w:bCs/>
          <w:sz w:val="20"/>
          <w:szCs w:val="20"/>
        </w:rPr>
        <w:t>Prognozy na lata od 2016 do 2024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 xml:space="preserve">Przy szacowaniu dochodów na poszczególne lata uwzględniono wskaźniki makroekonomiczne zawarte w Wieloletniej Prognozie Finansowej Państwa. Założono wzrost dochodów w wyżej wymienionych latach o 101%.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W 2016 prognozowane dochody są niższe od prognozowanych dochodów na 2015 rok z uwagi na to, że zaplanowana jest większa  kwota  dochodów bieżących. W 2016 roku planuje się dochody ze sprzedaży mienia komunalnego w wysokości 192.000 złotych. Do sprzedaży zaplanowano: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 xml:space="preserve"> - działkę rolną nr 214/1 w Radziczu o powierzchni 0,5800ha, działkę rolną w Dębowie nr 136 o powierzchni 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0,4900 ha, działkę rolną w Radziczu nr 196 o powierzchni 0,5200 ha). 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– działkę w  Samostrzelu , oraz 2 lokale mieszkalne w Sadkach ul. Mickiewicza 1,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 Od 2017 roku nie planuje się dochodów z sprzedaży mienia gminnego .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Przy planowaniu wydatków zaplanowano wzrost w wysokości 101%, natomiast wynagrodzenia wzrost o 102%.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Zawarta w WPF prognozowana kwota długu obejmuje lata od 2013 do 2024 roku. Na 31.12.2015 zadłużenie gminy wynosi 8.028.421,74 złotych, w tym z tytułu zaciągniętych kredytów i pożyczek 1.451.268,02 złotych  i z wykupu wierzytelności 6.577.153,72 złotych.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Gmina przejmie zobowiązania po zlikwidowanej SPZOZ Przychodnia w Sadkach w wysokości 490.000,00 zł Spłata zobowiązań nastąpi w 2016 roku z wydatków budżetowych.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Spłaty w poszczególnych latach wynoszą: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2016 rok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499.999,70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2017 rok 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457 288,00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2018 rok 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379 978,46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2019 rok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238 465,85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2020 rok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147 536,01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2021 rok 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68 000,00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 xml:space="preserve">2022 rok 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100.000,00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2023 rok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>100.000,00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color w:val="000000"/>
          <w:sz w:val="20"/>
          <w:szCs w:val="20"/>
        </w:rPr>
        <w:t>2024 rok</w:t>
      </w:r>
      <w:r w:rsidRPr="006E4C2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60 000,00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 xml:space="preserve">W Wieloletniej Prognozie Finansowej zaplanowane są wydatki inwestycyjne na lata 2016-2024, które zrealizowane były w 2009 roku (poprzez wykup wierzytelności). </w:t>
      </w: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4C2F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art.243 po uwzględnieniu ustawowych wyłączeń obliczony w oparciu o wykonanie roku poprzedzającego pierwszy rok prognozy (wskaźnik ustalony w oparciu o średnią arytmetyczną z 3 poprzednich lat)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2016 rok</w:t>
      </w:r>
      <w:r w:rsidRPr="006E4C2F">
        <w:rPr>
          <w:rFonts w:ascii="Times New Roman" w:hAnsi="Times New Roman" w:cs="Times New Roman"/>
          <w:sz w:val="20"/>
          <w:szCs w:val="20"/>
        </w:rPr>
        <w:tab/>
        <w:t>9,47%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2017 rok</w:t>
      </w:r>
      <w:r w:rsidRPr="006E4C2F">
        <w:rPr>
          <w:rFonts w:ascii="Times New Roman" w:hAnsi="Times New Roman" w:cs="Times New Roman"/>
          <w:sz w:val="20"/>
          <w:szCs w:val="20"/>
        </w:rPr>
        <w:tab/>
        <w:t>7,04%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lastRenderedPageBreak/>
        <w:t>2018 rok</w:t>
      </w:r>
      <w:r w:rsidRPr="006E4C2F">
        <w:rPr>
          <w:rFonts w:ascii="Times New Roman" w:hAnsi="Times New Roman" w:cs="Times New Roman"/>
          <w:sz w:val="20"/>
          <w:szCs w:val="20"/>
        </w:rPr>
        <w:tab/>
        <w:t>5,74%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2019 rok</w:t>
      </w:r>
      <w:r w:rsidRPr="006E4C2F">
        <w:rPr>
          <w:rFonts w:ascii="Times New Roman" w:hAnsi="Times New Roman" w:cs="Times New Roman"/>
          <w:sz w:val="20"/>
          <w:szCs w:val="20"/>
        </w:rPr>
        <w:tab/>
        <w:t>4,29%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2020 rok</w:t>
      </w:r>
      <w:r w:rsidRPr="006E4C2F">
        <w:rPr>
          <w:rFonts w:ascii="Times New Roman" w:hAnsi="Times New Roman" w:cs="Times New Roman"/>
          <w:sz w:val="20"/>
          <w:szCs w:val="20"/>
        </w:rPr>
        <w:tab/>
        <w:t>5,83%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2021 rok</w:t>
      </w:r>
      <w:r w:rsidRPr="006E4C2F">
        <w:rPr>
          <w:rFonts w:ascii="Times New Roman" w:hAnsi="Times New Roman" w:cs="Times New Roman"/>
          <w:sz w:val="20"/>
          <w:szCs w:val="20"/>
        </w:rPr>
        <w:tab/>
        <w:t>5,38%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2022 rok</w:t>
      </w:r>
      <w:r w:rsidRPr="006E4C2F">
        <w:rPr>
          <w:rFonts w:ascii="Times New Roman" w:hAnsi="Times New Roman" w:cs="Times New Roman"/>
          <w:sz w:val="20"/>
          <w:szCs w:val="20"/>
        </w:rPr>
        <w:tab/>
        <w:t>4,84%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2023 rok</w:t>
      </w:r>
      <w:r w:rsidRPr="006E4C2F">
        <w:rPr>
          <w:rFonts w:ascii="Times New Roman" w:hAnsi="Times New Roman" w:cs="Times New Roman"/>
          <w:sz w:val="20"/>
          <w:szCs w:val="20"/>
        </w:rPr>
        <w:tab/>
        <w:t>4,37%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2024 rok</w:t>
      </w:r>
      <w:r w:rsidRPr="006E4C2F">
        <w:rPr>
          <w:rFonts w:ascii="Times New Roman" w:hAnsi="Times New Roman" w:cs="Times New Roman"/>
          <w:sz w:val="20"/>
          <w:szCs w:val="20"/>
        </w:rPr>
        <w:tab/>
        <w:t>4,14%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 243 po uwzględnieniu ustawowych wyłączeń obliczony w oparciu o plan 3 kwartału roku poprzedzającego pierwszy rok prognozy (wskaźnik ustalony w oparciu o średnia arytmetyczną z 3 poprzednich lat)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2016 rok</w:t>
      </w:r>
      <w:r w:rsidRPr="006E4C2F">
        <w:rPr>
          <w:rFonts w:ascii="Times New Roman" w:hAnsi="Times New Roman" w:cs="Times New Roman"/>
          <w:sz w:val="20"/>
          <w:szCs w:val="20"/>
        </w:rPr>
        <w:tab/>
        <w:t>8,15%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2017 rok</w:t>
      </w:r>
      <w:r w:rsidRPr="006E4C2F">
        <w:rPr>
          <w:rFonts w:ascii="Times New Roman" w:hAnsi="Times New Roman" w:cs="Times New Roman"/>
          <w:sz w:val="20"/>
          <w:szCs w:val="20"/>
        </w:rPr>
        <w:tab/>
        <w:t>5,72%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2018 rok</w:t>
      </w:r>
      <w:r w:rsidRPr="006E4C2F">
        <w:rPr>
          <w:rFonts w:ascii="Times New Roman" w:hAnsi="Times New Roman" w:cs="Times New Roman"/>
          <w:sz w:val="20"/>
          <w:szCs w:val="20"/>
        </w:rPr>
        <w:tab/>
        <w:t>4,42%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2019 rok</w:t>
      </w:r>
      <w:r w:rsidRPr="006E4C2F">
        <w:rPr>
          <w:rFonts w:ascii="Times New Roman" w:hAnsi="Times New Roman" w:cs="Times New Roman"/>
          <w:sz w:val="20"/>
          <w:szCs w:val="20"/>
        </w:rPr>
        <w:tab/>
        <w:t>4,29%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2020 rok</w:t>
      </w:r>
      <w:r w:rsidRPr="006E4C2F">
        <w:rPr>
          <w:rFonts w:ascii="Times New Roman" w:hAnsi="Times New Roman" w:cs="Times New Roman"/>
          <w:sz w:val="20"/>
          <w:szCs w:val="20"/>
        </w:rPr>
        <w:tab/>
        <w:t>5,83%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2021 rok</w:t>
      </w:r>
      <w:r w:rsidRPr="006E4C2F">
        <w:rPr>
          <w:rFonts w:ascii="Times New Roman" w:hAnsi="Times New Roman" w:cs="Times New Roman"/>
          <w:sz w:val="20"/>
          <w:szCs w:val="20"/>
        </w:rPr>
        <w:tab/>
        <w:t>5,38%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2022 rok</w:t>
      </w:r>
      <w:r w:rsidRPr="006E4C2F">
        <w:rPr>
          <w:rFonts w:ascii="Times New Roman" w:hAnsi="Times New Roman" w:cs="Times New Roman"/>
          <w:sz w:val="20"/>
          <w:szCs w:val="20"/>
        </w:rPr>
        <w:tab/>
        <w:t>4,84%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2023 rok</w:t>
      </w:r>
      <w:r w:rsidRPr="006E4C2F">
        <w:rPr>
          <w:rFonts w:ascii="Times New Roman" w:hAnsi="Times New Roman" w:cs="Times New Roman"/>
          <w:sz w:val="20"/>
          <w:szCs w:val="20"/>
        </w:rPr>
        <w:tab/>
        <w:t>4,37%</w:t>
      </w:r>
    </w:p>
    <w:p w:rsidR="006E4C2F" w:rsidRPr="006E4C2F" w:rsidRDefault="006E4C2F" w:rsidP="006E4C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4C2F">
        <w:rPr>
          <w:rFonts w:ascii="Times New Roman" w:hAnsi="Times New Roman" w:cs="Times New Roman"/>
          <w:sz w:val="20"/>
          <w:szCs w:val="20"/>
        </w:rPr>
        <w:t>2024 rok</w:t>
      </w:r>
      <w:r w:rsidRPr="006E4C2F">
        <w:rPr>
          <w:rFonts w:ascii="Times New Roman" w:hAnsi="Times New Roman" w:cs="Times New Roman"/>
          <w:sz w:val="20"/>
          <w:szCs w:val="20"/>
        </w:rPr>
        <w:tab/>
        <w:t>4,14%</w:t>
      </w:r>
    </w:p>
    <w:p w:rsidR="00407D13" w:rsidRPr="00A37C5C" w:rsidRDefault="00407D13" w:rsidP="006E4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</w:p>
    <w:sectPr w:rsidR="00407D13" w:rsidRPr="00A37C5C" w:rsidSect="00C4291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386796"/>
    <w:rsid w:val="00407D13"/>
    <w:rsid w:val="0057489F"/>
    <w:rsid w:val="006E4C2F"/>
    <w:rsid w:val="00873833"/>
    <w:rsid w:val="00904864"/>
    <w:rsid w:val="00A06FBF"/>
    <w:rsid w:val="00A37C5C"/>
    <w:rsid w:val="00AD67CF"/>
    <w:rsid w:val="00AF1036"/>
    <w:rsid w:val="00C86848"/>
    <w:rsid w:val="00EE0421"/>
    <w:rsid w:val="00F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2016-08-12T06:46:00Z</dcterms:created>
  <dcterms:modified xsi:type="dcterms:W3CDTF">2016-08-12T06:46:00Z</dcterms:modified>
</cp:coreProperties>
</file>