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37C5C">
        <w:rPr>
          <w:rFonts w:ascii="Times New Roman" w:hAnsi="Times New Roman" w:cs="Times New Roman"/>
          <w:b/>
          <w:bCs/>
          <w:sz w:val="20"/>
          <w:szCs w:val="20"/>
        </w:rPr>
        <w:t>Objaśnienia do Wieloletniej Prognozy Finansowej</w:t>
      </w: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>Wieloletnia Prognoza Finansowa Gminy Sadki sporządzona została w oparciu o przepisy ustawy  z dnia 27 sierpnia 2009 roku o finansach publicznych. Obejmuje następujące lata:</w:t>
      </w: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>-  wykonanie 2013 roku</w:t>
      </w: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>-  wykonanie 2014 roku</w:t>
      </w: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>-  Plan na 3 kwartały 2015 roku</w:t>
      </w: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>-  wykonanie 2015 roku</w:t>
      </w: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37C5C">
        <w:rPr>
          <w:rFonts w:ascii="Times New Roman" w:hAnsi="Times New Roman" w:cs="Times New Roman"/>
          <w:b/>
          <w:bCs/>
          <w:sz w:val="20"/>
          <w:szCs w:val="20"/>
        </w:rPr>
        <w:t>Prognozy na lata od 2016 do 2024</w:t>
      </w: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 xml:space="preserve">Przy szacowaniu dochodów na poszczególne lata uwzględniono wskaźniki makroekonomiczne zawarte w Wieloletniej Prognozie Finansowej Państwa. Założono wzrost dochodów w wyżej wymienionych latach o 101%. </w:t>
      </w: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>W 2016 prognozowane dochody są niższe od prognozowanych dochodów na 2015 rok z uwagi na to, że zaplanowana jest większa  kwota  dochodów bieżących. W 2016 roku planuje się dochody ze sprzedaży mienia komunalnego w wysokości 192.000 złotych. Do sprzedaży zaplanowano:</w:t>
      </w: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 xml:space="preserve"> - działkę rolną nr 214/1 w Radziczu o powierzchni 0,5800ha, działkę rolną w Dębowie nr 136 o powierzchni 0,4900 ha, działkę rolną w Radziczu nr 196 o powierzchni 0,5200 ha).  </w:t>
      </w: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 xml:space="preserve">– działkę w  Samostrzelu , oraz 2 lokale mieszkalne w Sadkach ul. Mickiewicza 1, </w:t>
      </w: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 xml:space="preserve"> Od 2017 roku nie planuje się dochodów z sprzedaży mienia gminnego . </w:t>
      </w: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>Przy planowaniu wydatków zaplanowano wzrost w wysokości 101%, natomiast wynagrodzenia wzrost o 102%.</w:t>
      </w: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>Zawarta w WPF prognozowana kwota długu obejmuje lata od 2013 do 2024 roku. Na 31.12.2015 zadłużenie gminy wynosi 8.028.421,74 złotych, w tym z tytułu zaciągniętych kredytów i pożyczek 1.451.268,02 złotych  i z wykupu wierzytelności 6.577.153,72 złotych.</w:t>
      </w: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>Gmina przejmie zobowiązania po zlikwidowanej SPZOZ Przychodnia w Sadkach w wysokości 490.000,00 zł Spłata zobowiązań nastąpi w 2016 roku z wydatków budżetowych.</w:t>
      </w: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b/>
          <w:bCs/>
          <w:sz w:val="20"/>
          <w:szCs w:val="20"/>
        </w:rPr>
        <w:t>Spłaty w poszczególnych latach wynoszą:</w:t>
      </w:r>
      <w:r w:rsidRPr="00A37C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>2016 rok</w:t>
      </w:r>
      <w:r w:rsidRPr="00A37C5C">
        <w:rPr>
          <w:rFonts w:ascii="Times New Roman" w:hAnsi="Times New Roman" w:cs="Times New Roman"/>
          <w:sz w:val="20"/>
          <w:szCs w:val="20"/>
        </w:rPr>
        <w:tab/>
        <w:t>499.999,70</w:t>
      </w: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 xml:space="preserve">2017 rok </w:t>
      </w:r>
      <w:r w:rsidRPr="00A37C5C">
        <w:rPr>
          <w:rFonts w:ascii="Times New Roman" w:hAnsi="Times New Roman" w:cs="Times New Roman"/>
          <w:sz w:val="20"/>
          <w:szCs w:val="20"/>
        </w:rPr>
        <w:tab/>
        <w:t>389.288,00</w:t>
      </w: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 xml:space="preserve">2018 rok </w:t>
      </w:r>
      <w:r w:rsidRPr="00A37C5C">
        <w:rPr>
          <w:rFonts w:ascii="Times New Roman" w:hAnsi="Times New Roman" w:cs="Times New Roman"/>
          <w:sz w:val="20"/>
          <w:szCs w:val="20"/>
        </w:rPr>
        <w:tab/>
        <w:t>311.978,46</w:t>
      </w: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>2019 rok</w:t>
      </w:r>
      <w:r w:rsidRPr="00A37C5C">
        <w:rPr>
          <w:rFonts w:ascii="Times New Roman" w:hAnsi="Times New Roman" w:cs="Times New Roman"/>
          <w:sz w:val="20"/>
          <w:szCs w:val="20"/>
        </w:rPr>
        <w:tab/>
        <w:t>270.465,85</w:t>
      </w: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>2020 rok</w:t>
      </w:r>
      <w:r w:rsidRPr="00A37C5C">
        <w:rPr>
          <w:rFonts w:ascii="Times New Roman" w:hAnsi="Times New Roman" w:cs="Times New Roman"/>
          <w:sz w:val="20"/>
          <w:szCs w:val="20"/>
        </w:rPr>
        <w:tab/>
        <w:t>179.536,01</w:t>
      </w: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 xml:space="preserve">2021 rok </w:t>
      </w:r>
      <w:r w:rsidRPr="00A37C5C">
        <w:rPr>
          <w:rFonts w:ascii="Times New Roman" w:hAnsi="Times New Roman" w:cs="Times New Roman"/>
          <w:sz w:val="20"/>
          <w:szCs w:val="20"/>
        </w:rPr>
        <w:tab/>
        <w:t>100.000,00</w:t>
      </w: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 xml:space="preserve">2022 rok </w:t>
      </w:r>
      <w:r w:rsidRPr="00A37C5C">
        <w:rPr>
          <w:rFonts w:ascii="Times New Roman" w:hAnsi="Times New Roman" w:cs="Times New Roman"/>
          <w:sz w:val="20"/>
          <w:szCs w:val="20"/>
        </w:rPr>
        <w:tab/>
        <w:t>100.000,00</w:t>
      </w: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>2023 rok</w:t>
      </w:r>
      <w:r w:rsidRPr="00A37C5C">
        <w:rPr>
          <w:rFonts w:ascii="Times New Roman" w:hAnsi="Times New Roman" w:cs="Times New Roman"/>
          <w:sz w:val="20"/>
          <w:szCs w:val="20"/>
        </w:rPr>
        <w:tab/>
        <w:t>100.000,00</w:t>
      </w: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>2024 rok</w:t>
      </w:r>
      <w:r w:rsidRPr="00A37C5C">
        <w:rPr>
          <w:rFonts w:ascii="Times New Roman" w:hAnsi="Times New Roman" w:cs="Times New Roman"/>
          <w:sz w:val="20"/>
          <w:szCs w:val="20"/>
        </w:rPr>
        <w:tab/>
        <w:t>100.000,00</w:t>
      </w: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 xml:space="preserve">W Wieloletniej Prognozie Finansowej zaplanowane są wydatki inwestycyjne na lata 2016-2024, które zrealizowane były w 2009 roku (poprzez wykup wierzytelności). </w:t>
      </w: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37C5C" w:rsidRPr="00A37C5C" w:rsidRDefault="00A37C5C" w:rsidP="00A37C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37C5C" w:rsidRPr="00A37C5C" w:rsidRDefault="00A37C5C" w:rsidP="00A37C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37C5C">
        <w:rPr>
          <w:rFonts w:ascii="Times New Roman" w:hAnsi="Times New Roman" w:cs="Times New Roman"/>
          <w:b/>
          <w:bCs/>
          <w:sz w:val="20"/>
          <w:szCs w:val="20"/>
        </w:rPr>
        <w:t>Dopuszczalny wskaźnik spłaty zobowiązań z art.243 po uwzględnieniu ustawowych wyłączeń obliczony w oparciu o wykonanie roku poprzedzającego pierwszy rok prognozy (wskaźnik ustalony w oparciu o średnią arytmetyczną z 3 poprzednich lat)</w:t>
      </w:r>
    </w:p>
    <w:p w:rsidR="00A37C5C" w:rsidRPr="00A37C5C" w:rsidRDefault="00A37C5C" w:rsidP="00A37C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37C5C" w:rsidRPr="00A37C5C" w:rsidRDefault="00A37C5C" w:rsidP="00A37C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>2016 rok</w:t>
      </w:r>
      <w:r w:rsidRPr="00A37C5C">
        <w:rPr>
          <w:rFonts w:ascii="Times New Roman" w:hAnsi="Times New Roman" w:cs="Times New Roman"/>
          <w:sz w:val="20"/>
          <w:szCs w:val="20"/>
        </w:rPr>
        <w:tab/>
        <w:t>9,47%</w:t>
      </w:r>
    </w:p>
    <w:p w:rsidR="00A37C5C" w:rsidRPr="00A37C5C" w:rsidRDefault="00A37C5C" w:rsidP="00A37C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>2017 rok</w:t>
      </w:r>
      <w:r w:rsidRPr="00A37C5C">
        <w:rPr>
          <w:rFonts w:ascii="Times New Roman" w:hAnsi="Times New Roman" w:cs="Times New Roman"/>
          <w:sz w:val="20"/>
          <w:szCs w:val="20"/>
        </w:rPr>
        <w:tab/>
        <w:t>7,22%</w:t>
      </w:r>
    </w:p>
    <w:p w:rsidR="00A37C5C" w:rsidRPr="00A37C5C" w:rsidRDefault="00A37C5C" w:rsidP="00A37C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lastRenderedPageBreak/>
        <w:t>2018 rok</w:t>
      </w:r>
      <w:r w:rsidRPr="00A37C5C">
        <w:rPr>
          <w:rFonts w:ascii="Times New Roman" w:hAnsi="Times New Roman" w:cs="Times New Roman"/>
          <w:sz w:val="20"/>
          <w:szCs w:val="20"/>
        </w:rPr>
        <w:tab/>
        <w:t>5,92%</w:t>
      </w:r>
    </w:p>
    <w:p w:rsidR="00A37C5C" w:rsidRPr="00A37C5C" w:rsidRDefault="00A37C5C" w:rsidP="00A37C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>2019 rok</w:t>
      </w:r>
      <w:r w:rsidRPr="00A37C5C">
        <w:rPr>
          <w:rFonts w:ascii="Times New Roman" w:hAnsi="Times New Roman" w:cs="Times New Roman"/>
          <w:sz w:val="20"/>
          <w:szCs w:val="20"/>
        </w:rPr>
        <w:tab/>
        <w:t>4,47%</w:t>
      </w:r>
    </w:p>
    <w:p w:rsidR="00A37C5C" w:rsidRPr="00A37C5C" w:rsidRDefault="00A37C5C" w:rsidP="00A37C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>2020 rok</w:t>
      </w:r>
      <w:r w:rsidRPr="00A37C5C">
        <w:rPr>
          <w:rFonts w:ascii="Times New Roman" w:hAnsi="Times New Roman" w:cs="Times New Roman"/>
          <w:sz w:val="20"/>
          <w:szCs w:val="20"/>
        </w:rPr>
        <w:tab/>
        <w:t>5,83%</w:t>
      </w:r>
    </w:p>
    <w:p w:rsidR="00A37C5C" w:rsidRPr="00A37C5C" w:rsidRDefault="00A37C5C" w:rsidP="00A37C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>2021 rok</w:t>
      </w:r>
      <w:r w:rsidRPr="00A37C5C">
        <w:rPr>
          <w:rFonts w:ascii="Times New Roman" w:hAnsi="Times New Roman" w:cs="Times New Roman"/>
          <w:sz w:val="20"/>
          <w:szCs w:val="20"/>
        </w:rPr>
        <w:tab/>
        <w:t>5,38%</w:t>
      </w:r>
    </w:p>
    <w:p w:rsidR="00A37C5C" w:rsidRPr="00A37C5C" w:rsidRDefault="00A37C5C" w:rsidP="00A37C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>2022 rok</w:t>
      </w:r>
      <w:r w:rsidRPr="00A37C5C">
        <w:rPr>
          <w:rFonts w:ascii="Times New Roman" w:hAnsi="Times New Roman" w:cs="Times New Roman"/>
          <w:sz w:val="20"/>
          <w:szCs w:val="20"/>
        </w:rPr>
        <w:tab/>
        <w:t>4,84%</w:t>
      </w:r>
    </w:p>
    <w:p w:rsidR="00A37C5C" w:rsidRPr="00A37C5C" w:rsidRDefault="00A37C5C" w:rsidP="00A37C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>2023 rok</w:t>
      </w:r>
      <w:r w:rsidRPr="00A37C5C">
        <w:rPr>
          <w:rFonts w:ascii="Times New Roman" w:hAnsi="Times New Roman" w:cs="Times New Roman"/>
          <w:sz w:val="20"/>
          <w:szCs w:val="20"/>
        </w:rPr>
        <w:tab/>
        <w:t>4,37%</w:t>
      </w:r>
    </w:p>
    <w:p w:rsidR="00A37C5C" w:rsidRPr="00A37C5C" w:rsidRDefault="00A37C5C" w:rsidP="00A37C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>2024 rok</w:t>
      </w:r>
      <w:r w:rsidRPr="00A37C5C">
        <w:rPr>
          <w:rFonts w:ascii="Times New Roman" w:hAnsi="Times New Roman" w:cs="Times New Roman"/>
          <w:sz w:val="20"/>
          <w:szCs w:val="20"/>
        </w:rPr>
        <w:tab/>
        <w:t>4,14%</w:t>
      </w:r>
    </w:p>
    <w:p w:rsidR="00A37C5C" w:rsidRPr="00A37C5C" w:rsidRDefault="00A37C5C" w:rsidP="00A37C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37C5C" w:rsidRPr="00A37C5C" w:rsidRDefault="00A37C5C" w:rsidP="00A37C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b/>
          <w:bCs/>
          <w:sz w:val="20"/>
          <w:szCs w:val="20"/>
        </w:rPr>
        <w:t>Dopuszczalny wskaźnik spłaty zobowiązań z art. 243 po uwzględnieniu ustawowych wyłączeń obliczony w oparciu o plan 3 kwartału roku poprzedzającego pierwszy rok prognozy (wskaźnik ustalony w oparciu o średnia arytmetyczną z 3 poprzednich lat)</w:t>
      </w:r>
    </w:p>
    <w:p w:rsidR="00A37C5C" w:rsidRPr="00A37C5C" w:rsidRDefault="00A37C5C" w:rsidP="00A37C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37C5C" w:rsidRPr="00A37C5C" w:rsidRDefault="00A37C5C" w:rsidP="00A37C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>2016 rok</w:t>
      </w:r>
      <w:r w:rsidRPr="00A37C5C">
        <w:rPr>
          <w:rFonts w:ascii="Times New Roman" w:hAnsi="Times New Roman" w:cs="Times New Roman"/>
          <w:sz w:val="20"/>
          <w:szCs w:val="20"/>
        </w:rPr>
        <w:tab/>
        <w:t>8,15%</w:t>
      </w:r>
    </w:p>
    <w:p w:rsidR="00A37C5C" w:rsidRPr="00A37C5C" w:rsidRDefault="00A37C5C" w:rsidP="00A37C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>2017 rok</w:t>
      </w:r>
      <w:r w:rsidRPr="00A37C5C">
        <w:rPr>
          <w:rFonts w:ascii="Times New Roman" w:hAnsi="Times New Roman" w:cs="Times New Roman"/>
          <w:sz w:val="20"/>
          <w:szCs w:val="20"/>
        </w:rPr>
        <w:tab/>
        <w:t>5,89%</w:t>
      </w:r>
    </w:p>
    <w:p w:rsidR="00A37C5C" w:rsidRPr="00A37C5C" w:rsidRDefault="00A37C5C" w:rsidP="00A37C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>2018 rok</w:t>
      </w:r>
      <w:r w:rsidRPr="00A37C5C">
        <w:rPr>
          <w:rFonts w:ascii="Times New Roman" w:hAnsi="Times New Roman" w:cs="Times New Roman"/>
          <w:sz w:val="20"/>
          <w:szCs w:val="20"/>
        </w:rPr>
        <w:tab/>
        <w:t>4,59%</w:t>
      </w:r>
    </w:p>
    <w:p w:rsidR="00A37C5C" w:rsidRPr="00A37C5C" w:rsidRDefault="00A37C5C" w:rsidP="00A37C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>2019 rok</w:t>
      </w:r>
      <w:r w:rsidRPr="00A37C5C">
        <w:rPr>
          <w:rFonts w:ascii="Times New Roman" w:hAnsi="Times New Roman" w:cs="Times New Roman"/>
          <w:sz w:val="20"/>
          <w:szCs w:val="20"/>
        </w:rPr>
        <w:tab/>
        <w:t>4,47%</w:t>
      </w:r>
    </w:p>
    <w:p w:rsidR="00A37C5C" w:rsidRPr="00A37C5C" w:rsidRDefault="00A37C5C" w:rsidP="00A37C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>2020 rok</w:t>
      </w:r>
      <w:r w:rsidRPr="00A37C5C">
        <w:rPr>
          <w:rFonts w:ascii="Times New Roman" w:hAnsi="Times New Roman" w:cs="Times New Roman"/>
          <w:sz w:val="20"/>
          <w:szCs w:val="20"/>
        </w:rPr>
        <w:tab/>
        <w:t>5,83%</w:t>
      </w:r>
    </w:p>
    <w:p w:rsidR="00A37C5C" w:rsidRPr="00A37C5C" w:rsidRDefault="00A37C5C" w:rsidP="00A37C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>2021 rok</w:t>
      </w:r>
      <w:r w:rsidRPr="00A37C5C">
        <w:rPr>
          <w:rFonts w:ascii="Times New Roman" w:hAnsi="Times New Roman" w:cs="Times New Roman"/>
          <w:sz w:val="20"/>
          <w:szCs w:val="20"/>
        </w:rPr>
        <w:tab/>
        <w:t>5,38%</w:t>
      </w:r>
    </w:p>
    <w:p w:rsidR="00A37C5C" w:rsidRPr="00A37C5C" w:rsidRDefault="00A37C5C" w:rsidP="00A37C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>2022 rok</w:t>
      </w:r>
      <w:r w:rsidRPr="00A37C5C">
        <w:rPr>
          <w:rFonts w:ascii="Times New Roman" w:hAnsi="Times New Roman" w:cs="Times New Roman"/>
          <w:sz w:val="20"/>
          <w:szCs w:val="20"/>
        </w:rPr>
        <w:tab/>
        <w:t>4,84%</w:t>
      </w:r>
    </w:p>
    <w:p w:rsidR="00A37C5C" w:rsidRPr="00A37C5C" w:rsidRDefault="00A37C5C" w:rsidP="00A37C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>2023 rok</w:t>
      </w:r>
      <w:r w:rsidRPr="00A37C5C">
        <w:rPr>
          <w:rFonts w:ascii="Times New Roman" w:hAnsi="Times New Roman" w:cs="Times New Roman"/>
          <w:sz w:val="20"/>
          <w:szCs w:val="20"/>
        </w:rPr>
        <w:tab/>
        <w:t>4,37%</w:t>
      </w:r>
    </w:p>
    <w:p w:rsidR="00A37C5C" w:rsidRPr="00A37C5C" w:rsidRDefault="00A37C5C" w:rsidP="00A37C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>2024 rok</w:t>
      </w:r>
      <w:r w:rsidRPr="00A37C5C">
        <w:rPr>
          <w:rFonts w:ascii="Times New Roman" w:hAnsi="Times New Roman" w:cs="Times New Roman"/>
          <w:sz w:val="20"/>
          <w:szCs w:val="20"/>
        </w:rPr>
        <w:tab/>
        <w:t>4,14%</w:t>
      </w:r>
    </w:p>
    <w:p w:rsidR="00A37C5C" w:rsidRPr="00A37C5C" w:rsidRDefault="00A37C5C" w:rsidP="00A37C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37C5C" w:rsidRPr="00A37C5C" w:rsidRDefault="00A37C5C" w:rsidP="00A37C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37C5C" w:rsidRPr="00A37C5C" w:rsidRDefault="00A37C5C" w:rsidP="00A37C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37C5C" w:rsidRPr="00A37C5C" w:rsidRDefault="00A37C5C" w:rsidP="00A37C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37C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7C5C" w:rsidRPr="00A37C5C" w:rsidRDefault="00A37C5C" w:rsidP="00A37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7D13" w:rsidRPr="00A37C5C" w:rsidRDefault="00407D13" w:rsidP="00A37C5C">
      <w:bookmarkStart w:id="0" w:name="_GoBack"/>
      <w:bookmarkEnd w:id="0"/>
    </w:p>
    <w:sectPr w:rsidR="00407D13" w:rsidRPr="00A37C5C" w:rsidSect="00C42919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A4C3A"/>
    <w:rsid w:val="00292DA6"/>
    <w:rsid w:val="00407D13"/>
    <w:rsid w:val="0057489F"/>
    <w:rsid w:val="00873833"/>
    <w:rsid w:val="00904864"/>
    <w:rsid w:val="00A06FBF"/>
    <w:rsid w:val="00A37C5C"/>
    <w:rsid w:val="00AD67CF"/>
    <w:rsid w:val="00AF1036"/>
    <w:rsid w:val="00C86848"/>
    <w:rsid w:val="00EE0421"/>
    <w:rsid w:val="00F9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748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ksieg8</cp:lastModifiedBy>
  <cp:revision>2</cp:revision>
  <dcterms:created xsi:type="dcterms:W3CDTF">2016-06-15T07:53:00Z</dcterms:created>
  <dcterms:modified xsi:type="dcterms:W3CDTF">2016-06-15T07:53:00Z</dcterms:modified>
</cp:coreProperties>
</file>