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0679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Wieloletnia Prognoza Finansowa Gminy Sadki sporządzona została w oparciu o przepisy ustawy  z dnia 27 sierpnia 2009 roku o finansach publicznych. Obejmuje następujące lata: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 wykonanie 2013 roku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 wykonanie 2014 roku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 Plan na 3 kwartały 2015 roku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 wykonanie 2015 roku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W uchwale XVIII/22/2016 została błędnie wskazana kwota wydatków majątkowych na 2016 rok związana z wykupem wierzytelności zaciągniętych w 2009 roku objęta limitem spłat o kwotę 1309,64 złote. Wskazano 688083,00 zł zamiast 689392,64 zł.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Kwota 1309,64 zł wynika z </w:t>
      </w:r>
      <w:proofErr w:type="spellStart"/>
      <w:r w:rsidRPr="00AB0679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Pr="00AB0679">
        <w:rPr>
          <w:rFonts w:ascii="Times New Roman" w:hAnsi="Times New Roman" w:cs="Times New Roman"/>
          <w:sz w:val="20"/>
          <w:szCs w:val="20"/>
        </w:rPr>
        <w:t xml:space="preserve"> niższej spłaty rat kapitałowych wierzytelności w 2015 roku na rzecz Banku Ochrony Środowiska w stosunku do planu spłat przypisanych w 2009 roku na podstawie  przesłanego i wprowadzonego harmonogramu spłat.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Od 2015 roku Bank Ochrony Środowiska przesyła każdego miesiąca wyciągi bankowe na podstawie których Urząd Gminy dokonuje spłat wcześniej zaciągniętych zobowiązań ( wierzytelności). Poniżej przedstawiono tabelarycznie wykaz spłat w stosunku do planu na 2015 rok.</w:t>
      </w:r>
    </w:p>
    <w:tbl>
      <w:tblPr>
        <w:tblW w:w="0" w:type="auto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377"/>
        <w:gridCol w:w="1162"/>
        <w:gridCol w:w="1162"/>
        <w:gridCol w:w="3288"/>
      </w:tblGrid>
      <w:tr w:rsidR="00AB0679" w:rsidRPr="00AB0679" w:rsidTr="00AB0679">
        <w:trPr>
          <w:trHeight w:val="226"/>
        </w:trPr>
        <w:tc>
          <w:tcPr>
            <w:tcW w:w="8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WYKUP WIERZYTELNOŚCI RAT KAPITAŁOWYCH</w:t>
            </w:r>
          </w:p>
        </w:tc>
      </w:tr>
      <w:tr w:rsidR="00AB0679" w:rsidRPr="00AB0679">
        <w:trPr>
          <w:trHeight w:val="124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banku rok 2015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2015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Wykonanie za 2015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Różnica między planem a wykonaniem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</w:t>
            </w: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BOŚ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62 856,00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62.632,49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223,51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 xml:space="preserve">Śmielin ul. </w:t>
            </w:r>
            <w:proofErr w:type="spellStart"/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Lipowa,Modrzewiowa</w:t>
            </w:r>
            <w:proofErr w:type="spellEnd"/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BOŚ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48.726,12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173,88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Sadki ul. Kościelna</w:t>
            </w: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BOŚ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37 152,00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37.152,00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 xml:space="preserve">Sadki </w:t>
            </w:r>
            <w:proofErr w:type="spellStart"/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ul.Kwiatowa</w:t>
            </w:r>
            <w:proofErr w:type="spellEnd"/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, Brzozowa</w:t>
            </w: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BOŚ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24 564,00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24.476,65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87,35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Sadki ul. Przemysłowa</w:t>
            </w: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BOŚ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10.776,00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10.737,68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38,32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Sadki ul. Kochanowskiego</w:t>
            </w: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BOŚ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33 372,00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33.253,34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118,66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 xml:space="preserve">Sadki ul. </w:t>
            </w:r>
            <w:proofErr w:type="spellStart"/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Por.K</w:t>
            </w:r>
            <w:proofErr w:type="spellEnd"/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. Susały</w:t>
            </w: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BOŚ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172 872,00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172.204,08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667,92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Dębowo ul. Krakowska</w:t>
            </w: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Razem BOŚ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390 492,00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289 182,36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1 309,64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BGK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360 144,00  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360 144,00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Anieliny,Liszkówko,Łodzia</w:t>
            </w:r>
            <w:proofErr w:type="spellEnd"/>
          </w:p>
        </w:tc>
      </w:tr>
      <w:tr w:rsidR="00AB0679" w:rsidRPr="00AB0679">
        <w:trPr>
          <w:trHeight w:val="22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679" w:rsidRPr="00AB0679">
        <w:trPr>
          <w:trHeight w:val="73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color w:val="000000"/>
                <w:sz w:val="20"/>
                <w:szCs w:val="20"/>
              </w:rPr>
              <w:t>Ogółem wykupy wierzytelności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750 636,00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749 326,36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06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1 309,64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679" w:rsidRPr="00AB0679" w:rsidRDefault="00AB0679" w:rsidP="00AB06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Urząd Gminy różnicę 1309,64 ( spłaty rat kapitałowych) przeniósł na 2016 rok i zwiększył plan wydatków w tym zakresie oraz wykaz limitu przedsięwzięć do WPF.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B0679">
        <w:rPr>
          <w:rFonts w:ascii="Times New Roman" w:hAnsi="Times New Roman" w:cs="Times New Roman"/>
          <w:b/>
          <w:bCs/>
          <w:sz w:val="20"/>
          <w:szCs w:val="20"/>
        </w:rPr>
        <w:t>Prognozy na lata od 2016 do 2024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Przy szacowaniu dochodów na poszczególne lata uwzględniono wskaźniki makroekonomiczne zawarte w Wieloletniej Prognozie Finansowej Państwa. Założono wzrost dochodów w wyżej wymienionych latach o 101%. 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W 2016 prognozowane dochody są niższe od prognozowanych dochodów na 2015 rok z uwagi na to, że zaplanowana jest większa  kwota  dochodów bieżących. W 2016 roku planuje się dochody ze sprzedaży mienia komunalnego w wysokości 192.000 złotych. Do sprzedaży zaplanowano: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 - działkę rolną nr 214/1 w Radziczu o powierzchni 0,5800ha, działkę rolną w Dębowie nr 136 o powierzchni 0,4900 ha, działkę rolną w Radziczu nr 196 o powierzchni 0,5200 ha).  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– działkę w  Samostrzelu , oraz 2 lokale mieszkalne w Sadkach ul. Mickiewicza 1, 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 Od 2017 roku nie planuje się dochodów z sprzedaży mienia gminnego . 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lastRenderedPageBreak/>
        <w:t>Przy planowaniu wydatków zaplanowano wzrost w wysokości 101%, natomiast wynagrodzenia wzrost o 102%.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Zawarta w WPF prognozowana kwota długu obejmuje lata od 2013 do 2024 roku. Na 31.12.2015 zadłużenie gminy wynosi 8.028.421,74 złotych, w tym z tytułu zaciągniętych kredytów i pożyczek 1.451.268,02 złotych  i z wykupu wierzytelności 6.577.153,72 złotych.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Gmina przejmie zobowiązania po zlikwidowanej SPZOZ Przychodnia w Sadkach w wysokości 490.000. Spłata zobowiązań nastąpi w 2016 roku z wydatków budżetowych.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b/>
          <w:bCs/>
          <w:sz w:val="20"/>
          <w:szCs w:val="20"/>
        </w:rPr>
        <w:t>Spłaty w poszczególnych latach wynoszą:</w:t>
      </w:r>
      <w:r w:rsidRPr="00AB06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2016 rok</w:t>
      </w:r>
      <w:r w:rsidRPr="00AB0679">
        <w:rPr>
          <w:rFonts w:ascii="Times New Roman" w:hAnsi="Times New Roman" w:cs="Times New Roman"/>
          <w:sz w:val="20"/>
          <w:szCs w:val="20"/>
        </w:rPr>
        <w:tab/>
        <w:t>499.999,70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2017 rok </w:t>
      </w:r>
      <w:r w:rsidRPr="00AB0679">
        <w:rPr>
          <w:rFonts w:ascii="Times New Roman" w:hAnsi="Times New Roman" w:cs="Times New Roman"/>
          <w:sz w:val="20"/>
          <w:szCs w:val="20"/>
        </w:rPr>
        <w:tab/>
        <w:t>389.288,00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2018 rok </w:t>
      </w:r>
      <w:r w:rsidRPr="00AB0679">
        <w:rPr>
          <w:rFonts w:ascii="Times New Roman" w:hAnsi="Times New Roman" w:cs="Times New Roman"/>
          <w:sz w:val="20"/>
          <w:szCs w:val="20"/>
        </w:rPr>
        <w:tab/>
        <w:t>311.978,46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2019 rok</w:t>
      </w:r>
      <w:r w:rsidRPr="00AB0679">
        <w:rPr>
          <w:rFonts w:ascii="Times New Roman" w:hAnsi="Times New Roman" w:cs="Times New Roman"/>
          <w:sz w:val="20"/>
          <w:szCs w:val="20"/>
        </w:rPr>
        <w:tab/>
        <w:t>170.465,85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2020 rok</w:t>
      </w:r>
      <w:r w:rsidRPr="00AB0679">
        <w:rPr>
          <w:rFonts w:ascii="Times New Roman" w:hAnsi="Times New Roman" w:cs="Times New Roman"/>
          <w:sz w:val="20"/>
          <w:szCs w:val="20"/>
        </w:rPr>
        <w:tab/>
        <w:t>79.536,01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W Wieloletniej Prognozie Finansowej zaplanowane są wydatki inwestycyjne na lata 2016-2024, które zrealizowane były w 2009 roku (poprzez wykup wierzytelności). </w:t>
      </w: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B0679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art.243 po uwzględnieniu ustawowych wyłączeń obliczony w oparciu o wykonanie roku poprzedzającego pierwszy rok prognozy (wskaźnik ustalony w oparciu o średnią arytmetyczną z 3 poprzednich lat)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2016 rok</w:t>
      </w:r>
      <w:r w:rsidRPr="00AB0679">
        <w:rPr>
          <w:rFonts w:ascii="Times New Roman" w:hAnsi="Times New Roman" w:cs="Times New Roman"/>
          <w:sz w:val="20"/>
          <w:szCs w:val="20"/>
        </w:rPr>
        <w:tab/>
        <w:t>9,47%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2017 rok</w:t>
      </w:r>
      <w:r w:rsidRPr="00AB0679">
        <w:rPr>
          <w:rFonts w:ascii="Times New Roman" w:hAnsi="Times New Roman" w:cs="Times New Roman"/>
          <w:sz w:val="20"/>
          <w:szCs w:val="20"/>
        </w:rPr>
        <w:tab/>
        <w:t>7,24%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2018 rok</w:t>
      </w:r>
      <w:r w:rsidRPr="00AB0679">
        <w:rPr>
          <w:rFonts w:ascii="Times New Roman" w:hAnsi="Times New Roman" w:cs="Times New Roman"/>
          <w:sz w:val="20"/>
          <w:szCs w:val="20"/>
        </w:rPr>
        <w:tab/>
        <w:t>6,05%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2019 rok</w:t>
      </w:r>
      <w:r w:rsidRPr="00AB0679">
        <w:rPr>
          <w:rFonts w:ascii="Times New Roman" w:hAnsi="Times New Roman" w:cs="Times New Roman"/>
          <w:sz w:val="20"/>
          <w:szCs w:val="20"/>
        </w:rPr>
        <w:tab/>
        <w:t>4,72%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2020 rok</w:t>
      </w:r>
      <w:r w:rsidRPr="00AB0679">
        <w:rPr>
          <w:rFonts w:ascii="Times New Roman" w:hAnsi="Times New Roman" w:cs="Times New Roman"/>
          <w:sz w:val="20"/>
          <w:szCs w:val="20"/>
        </w:rPr>
        <w:tab/>
        <w:t>5,89%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2021 rok</w:t>
      </w:r>
      <w:r w:rsidRPr="00AB0679">
        <w:rPr>
          <w:rFonts w:ascii="Times New Roman" w:hAnsi="Times New Roman" w:cs="Times New Roman"/>
          <w:sz w:val="20"/>
          <w:szCs w:val="20"/>
        </w:rPr>
        <w:tab/>
        <w:t>5,31%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2022 rok</w:t>
      </w:r>
      <w:r w:rsidRPr="00AB0679">
        <w:rPr>
          <w:rFonts w:ascii="Times New Roman" w:hAnsi="Times New Roman" w:cs="Times New Roman"/>
          <w:sz w:val="20"/>
          <w:szCs w:val="20"/>
        </w:rPr>
        <w:tab/>
        <w:t>4,56%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2023 rok</w:t>
      </w:r>
      <w:r w:rsidRPr="00AB0679">
        <w:rPr>
          <w:rFonts w:ascii="Times New Roman" w:hAnsi="Times New Roman" w:cs="Times New Roman"/>
          <w:sz w:val="20"/>
          <w:szCs w:val="20"/>
        </w:rPr>
        <w:tab/>
        <w:t>4,29%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2024 rok</w:t>
      </w:r>
      <w:r w:rsidRPr="00AB0679">
        <w:rPr>
          <w:rFonts w:ascii="Times New Roman" w:hAnsi="Times New Roman" w:cs="Times New Roman"/>
          <w:sz w:val="20"/>
          <w:szCs w:val="20"/>
        </w:rPr>
        <w:tab/>
        <w:t>4,08%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 243 po uwzględnieniu ustawowych wyłączeń obliczony w oparciu o plan 3 kwartału roku poprzedzającego pierwszy rok prognozy (wskaźnik ustalony w oparciu o średnia arytmetyczną z 3 poprzednich lat)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2016 rok</w:t>
      </w:r>
      <w:r w:rsidRPr="00AB0679">
        <w:rPr>
          <w:rFonts w:ascii="Times New Roman" w:hAnsi="Times New Roman" w:cs="Times New Roman"/>
          <w:sz w:val="20"/>
          <w:szCs w:val="20"/>
        </w:rPr>
        <w:tab/>
        <w:t>8,15%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2017 rok</w:t>
      </w:r>
      <w:r w:rsidRPr="00AB0679">
        <w:rPr>
          <w:rFonts w:ascii="Times New Roman" w:hAnsi="Times New Roman" w:cs="Times New Roman"/>
          <w:sz w:val="20"/>
          <w:szCs w:val="20"/>
        </w:rPr>
        <w:tab/>
        <w:t>5,91%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2018 rok</w:t>
      </w:r>
      <w:r w:rsidRPr="00AB0679">
        <w:rPr>
          <w:rFonts w:ascii="Times New Roman" w:hAnsi="Times New Roman" w:cs="Times New Roman"/>
          <w:sz w:val="20"/>
          <w:szCs w:val="20"/>
        </w:rPr>
        <w:tab/>
        <w:t>4,72%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2019 rok</w:t>
      </w:r>
      <w:r w:rsidRPr="00AB0679">
        <w:rPr>
          <w:rFonts w:ascii="Times New Roman" w:hAnsi="Times New Roman" w:cs="Times New Roman"/>
          <w:sz w:val="20"/>
          <w:szCs w:val="20"/>
        </w:rPr>
        <w:tab/>
        <w:t>4,72%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2020 rok</w:t>
      </w:r>
      <w:r w:rsidRPr="00AB0679">
        <w:rPr>
          <w:rFonts w:ascii="Times New Roman" w:hAnsi="Times New Roman" w:cs="Times New Roman"/>
          <w:sz w:val="20"/>
          <w:szCs w:val="20"/>
        </w:rPr>
        <w:tab/>
        <w:t>5,89%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2021 rok</w:t>
      </w:r>
      <w:r w:rsidRPr="00AB0679">
        <w:rPr>
          <w:rFonts w:ascii="Times New Roman" w:hAnsi="Times New Roman" w:cs="Times New Roman"/>
          <w:sz w:val="20"/>
          <w:szCs w:val="20"/>
        </w:rPr>
        <w:tab/>
        <w:t>5,31%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2022 rok</w:t>
      </w:r>
      <w:r w:rsidRPr="00AB0679">
        <w:rPr>
          <w:rFonts w:ascii="Times New Roman" w:hAnsi="Times New Roman" w:cs="Times New Roman"/>
          <w:sz w:val="20"/>
          <w:szCs w:val="20"/>
        </w:rPr>
        <w:tab/>
        <w:t>4,56%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2023 rok</w:t>
      </w:r>
      <w:r w:rsidRPr="00AB0679">
        <w:rPr>
          <w:rFonts w:ascii="Times New Roman" w:hAnsi="Times New Roman" w:cs="Times New Roman"/>
          <w:sz w:val="20"/>
          <w:szCs w:val="20"/>
        </w:rPr>
        <w:tab/>
        <w:t>4,29%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2024 rok</w:t>
      </w:r>
      <w:r w:rsidRPr="00AB0679">
        <w:rPr>
          <w:rFonts w:ascii="Times New Roman" w:hAnsi="Times New Roman" w:cs="Times New Roman"/>
          <w:sz w:val="20"/>
          <w:szCs w:val="20"/>
        </w:rPr>
        <w:tab/>
        <w:t>4,08%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W wieloletniej prognozie finansowej wykazane są w następujących latach nadwyżki budżetowe: 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- 2017 roku - nadwyżka planowana w wysokości 448.971 zł przeznaczona zostanie na spłatę kredytu i pożyczki w wysokości 389.288 zł a pozostała kwota w wysokości 59.683 zł na wydatki inwestycyjne,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- 2018 rok - nadwyżka 382.996 zł, z czego 311.978,46 zł na spłatę kredytu i pożyczki a 71.017,54 zł na wydatki inwestycyjne,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lastRenderedPageBreak/>
        <w:t>- 2019 rok nadwyżka w kwocie 173.209 zł z czego 170.465,85 zł na spłatę rat kredytów i pożyczek a 2.743,15 przeznaczona zostanie na wydatki inwestycyjne,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- 2020 rok nadwyżka w kwocie 164.364 zł z czego  79.536,01 zł na spłatę rat kredytów i pożyczek a 84.827,99 przeznaczona zostanie na wydatki inwestycyjne,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- 2021 rok nadwyżka w kwocie 49.364 zł przeznaczona zostanie w całości na wydatki inwestycyjne 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- 2022 rok - całość nadwyżki w kwocie 121.917 zł przeznaczone zostanie na wydatki inwestycyjne.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- 2023 rok- całość nadwyżki w kwocie 89.364 zł przeznaczone zostanie na wydatki inwestycyjne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>- 2024 rok - całość nadwyżki w kwocie 46.690,92 zł przeznaczona zostanie na wydatki inwestycyjne</w:t>
      </w:r>
    </w:p>
    <w:p w:rsidR="00AB0679" w:rsidRPr="00AB0679" w:rsidRDefault="00AB0679" w:rsidP="00AB0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B06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0679" w:rsidRPr="00AB0679" w:rsidRDefault="00AB0679" w:rsidP="00AB0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D13" w:rsidRPr="00AB0679" w:rsidRDefault="00407D13" w:rsidP="00AB0679">
      <w:bookmarkStart w:id="0" w:name="_GoBack"/>
      <w:bookmarkEnd w:id="0"/>
    </w:p>
    <w:sectPr w:rsidR="00407D13" w:rsidRPr="00AB0679" w:rsidSect="00DC43A7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407D13"/>
    <w:rsid w:val="00520B57"/>
    <w:rsid w:val="00904864"/>
    <w:rsid w:val="009914FE"/>
    <w:rsid w:val="00A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20B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3</cp:revision>
  <dcterms:created xsi:type="dcterms:W3CDTF">2016-03-16T12:44:00Z</dcterms:created>
  <dcterms:modified xsi:type="dcterms:W3CDTF">2016-04-18T07:51:00Z</dcterms:modified>
</cp:coreProperties>
</file>