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LIX/17/2023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30 marca 2023 r.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2023–2026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1990r. o samorządzie gminnym </w:t>
      </w:r>
      <w:r>
        <w:rPr>
          <w:rFonts w:ascii="Times New Roman" w:hAnsi="Times New Roman"/>
        </w:rPr>
        <w:t xml:space="preserve">(tekst </w:t>
      </w:r>
      <w:r>
        <w:rPr>
          <w:rFonts w:ascii="Times New Roman" w:hAnsi="Times New Roman" w:cs="Times New Roman"/>
          <w:sz w:val="24"/>
          <w:szCs w:val="24"/>
        </w:rPr>
        <w:t>jedn. Dz. U. z 2023 r., poz. 40), art. 226, art.227, art. 228 ust. 1 pkt 1 i 2, art. 230 ust. 6, art.243 ustawy z dnia 27 sierpnia 2009 r. o finansach publicznych (</w:t>
      </w:r>
      <w:r>
        <w:rPr>
          <w:rFonts w:ascii="Times New Roman" w:hAnsi="Times New Roman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>Dz. U. z 2022 r., poz. 1634  ze zm.)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 § 2 rozporządzenia Ministra Finansów z dnia 10 stycznia   2013 r. w sprawie wieloletniej prognozy finansowej jednostki samorządu terytorialnego (tekst jedn. Dz. U. z 2021 r., poz. 83) oraz art. 111 ustawy z dnia 12 marca 2022 r. o pomocy obywatelom Ukrainy w związku z konfliktem zbrojnym na terytorium tego państwa (tekst jedn. Dz.U. z 2023 r. poz. 103)Rada Gminy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>
        <w:rPr>
          <w:rFonts w:ascii="Times New Roman" w:hAnsi="Times New Roman" w:cs="Times New Roman"/>
          <w:sz w:val="24"/>
          <w:szCs w:val="24"/>
        </w:rPr>
        <w:t>W Uchwale Nr LV/63/2022 Rady Gminy Sadki z dnia 22 grudnia 2022 roku  w sprawie uchwalenia  Wieloletniej Prognozy Finansowej Gminy Sadki na lata 2023–2026, wprowadza się następujące zmiany: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2023 rok” należy dokonać odpowiednich zmian w „Wieloletniej Prognozie Finansowej na lata 2023-2026”.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aktualizację planów na 2023 rok dochodów, wydatków, przychodów i rozchodów budżetowych;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wykonanie za 2022 rok dochodów, wydatków, przychodów i rozchodów budżetowych. Wprowadzenie wykonania do WPF spowodowało zwiększenie kwoty długu na 31.12.2022 rok do poziomu 1.385.469,28 zł, która to jest zgodna ze sprawozdaniem    Rb-Z za IV kwartał 2022 rok;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Zwiększono limit wydatków na 2023 rok związanych z wykupem wierzytelności o kwotę 1.524,20 zł. Łączna kwota  w 2023 roku  to 752.160,20. Kwota 1.524,20 zł wynika z  niższej spłaty rat kapitałowych wierzytelności w 2022 roku na rzecz Banku Ochrony Środowiska w stosunku do planu spłat przypisanych w 2009 roku na podstawie  przesłanego i wprowadzonego harmonogramu spłat. Od 2015 roku Bank Ochrony Środowiska przesyła w każdym miesiącu wyciągi bankowe ( ze wskazaniem kwoty kapitału) na podstawie których Urząd Gminy dokonuje spłat wcześniej zaciągniętych zobowiązań (wierzytelności). Poniżej przedstawiono tabelarycznie wykaz spłat w stosunku do planu na 2021 rok.</w:t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261"/>
        <w:gridCol w:w="1728"/>
        <w:gridCol w:w="1646"/>
        <w:gridCol w:w="3573"/>
      </w:tblGrid>
      <w:tr>
        <w:trPr>
          <w:trHeight w:val="255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WYKUP WIERZYTELNOŚCI RAT KAPITAŁOWYCH</w:t>
            </w:r>
          </w:p>
        </w:tc>
      </w:tr>
      <w:tr>
        <w:trPr>
          <w:trHeight w:val="141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banku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2022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 za 2022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Różnica między planem a wykonaniem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Dotyczy</w:t>
            </w:r>
          </w:p>
        </w:tc>
      </w:tr>
      <w:tr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57 841,51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57 618,00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223,51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Śmielin ul.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Lipowa,Modrzewiowa</w:t>
            </w:r>
            <w:proofErr w:type="spellEnd"/>
          </w:p>
        </w:tc>
      </w:tr>
      <w:tr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44 998,88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44 825,00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173,88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Sadki ul. Kościelna</w:t>
            </w:r>
          </w:p>
        </w:tc>
      </w:tr>
      <w:tr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34 056,00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34 056,00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Sadki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ul.Kwiatowa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Brzozowa</w:t>
            </w:r>
          </w:p>
        </w:tc>
      </w:tr>
      <w:tr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22 604,35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22 517,00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87,35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Sadki ul. Przemysłowa</w:t>
            </w:r>
          </w:p>
        </w:tc>
      </w:tr>
      <w:tr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9 959,45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9 878,00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81,45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Sadki ul. Kochanowskiego</w:t>
            </w:r>
          </w:p>
        </w:tc>
      </w:tr>
      <w:tr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30 709,66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30 591,00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118,66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Sadki ul.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Por.K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Susały</w:t>
            </w:r>
          </w:p>
        </w:tc>
      </w:tr>
      <w:tr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159 305,35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158 466,00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839,35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Dębowo ul. Krakowska</w:t>
            </w:r>
          </w:p>
        </w:tc>
      </w:tr>
      <w:tr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 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359 475,20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357 951,00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BGK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330 132,00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330 132,00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Anieliny,Liszkówko,Łodzia</w:t>
            </w:r>
            <w:proofErr w:type="spellEnd"/>
          </w:p>
        </w:tc>
      </w:tr>
      <w:tr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4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Ogółem wykupy wierzytelności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689 607,20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688 083,00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Wprowadzono nowe przedsięwzięcie pn. „Świadczenie usług w zakresie odbierania i zagospodarowania odpadów komunalnych od właścicieli nieruchomości z terenu Gminy Sadki w okresie od 01.07.2023 r. do 30.06.2024 r.”. Łączny limit wydatków na to zadanie wynosi 2.980.800,00 zł. </w:t>
      </w:r>
    </w:p>
    <w:p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r. – limit wydatków     1.415.885,47 zł,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r. – limit wydatków     1.564.914,33 zł,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Łączny nakład           2.980.800,00 zł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Wprowadzono nowe przedsięwzięcie pn. „Usługi w zakresie dowozu dzieci z terenu gminy Sadki do jednostek oświatowych w okresie od 1 września 2023 roku do czerwca 2024 roku – 1 rok szkolny”. Łączny limit wydatków na to zadanie wynosi 560.000,00 zł. </w:t>
      </w:r>
    </w:p>
    <w:p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r. – limit wydatków     224.000,00 zł,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r. – limit wydatków     336.000,00 zł,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Łączny nakład           560.000,00 zł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Wprowadzono przedsięwzięcie. W związku ze zmianą harmonogramu realizacji założonego wcześniej zadania inwestycyjnego pn. „Prace budowlane i modernizacyjne w budynkach OSP w miejscowościach Sadki i Anieliny” z 2023 roku na dwa lata kalendarzowe 2023 i 2024 . Łączny limit wydatków na to zadanie wynosi 5.200.000,00 zł. </w:t>
      </w:r>
    </w:p>
    <w:p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r. – limit wydatków     3.475.000,00 zł,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r. – limit wydatków     1.725.000,00 zł,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Łączny nakład           5.200.000,00 zł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oparciu o sprawozdania Rb 27s i Rb 28s, Rb NDS  za  IV kwartał 2022 roku ustalono kwotę wolnych środków jakimi dysponuje Gmina Sadki wg. stanu na dzień 31.12.2022 r.</w:t>
      </w:r>
      <w:r>
        <w:rPr>
          <w:rFonts w:ascii="Times New Roman" w:hAnsi="Times New Roman" w:cs="Times New Roman"/>
          <w:sz w:val="24"/>
          <w:szCs w:val="24"/>
        </w:rPr>
        <w:br/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wyliczenia wynika, że Gmina posiada do dyspozycji kwotę 23.414.831,76 zł przy czym: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141"/>
          <w:tab w:val="left" w:pos="4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1985"/>
      </w:tblGrid>
      <w:t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Niewykorzystane środki pieniężne na rachunku bankowym budżetu, o których mowa w art. 217 ust.2 pkt. 8 ustawy o finansach publicznych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1.846.496,92</w:t>
            </w:r>
          </w:p>
        </w:tc>
      </w:tr>
      <w:t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Nadwyżka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budżetu jednostki samorządu terytorialnego z lat ubiegłych, pomniejszonej o środki określone w pkt 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19.848.963,88</w:t>
            </w:r>
          </w:p>
        </w:tc>
      </w:tr>
      <w:t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Wolne środki, o których mowa w art. 217 ust.2 pkt 6 ustawy o finansach publicznych,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1.719.370,96</w:t>
            </w:r>
          </w:p>
        </w:tc>
      </w:tr>
      <w:t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23.414.831,76</w:t>
            </w:r>
          </w:p>
        </w:tc>
      </w:tr>
    </w:tbl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Wymienioną kwotę przewiduje się przeznaczyć na sfinansowanie planowanego deficytu w latach 2023 – 2025, przy czym:</w:t>
      </w:r>
    </w:p>
    <w:p>
      <w:pPr>
        <w:pStyle w:val="Akapitzlist"/>
        <w:widowControl w:val="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2023 – w wysokości 11.749.777,92 zł, który zostanie sfinansowany przychodami pochodzącymi z niewykorzystanych środków pieniężnych o których mowa w art. 217 ust.2 pkt 8 w kwocie 1.846.496,92 zł i nadwyżką budżetu o której mowa w art. 217 ust. 2 pkt 5 w kwocie 9.903.281,00 zł ;</w:t>
      </w:r>
    </w:p>
    <w:p>
      <w:pPr>
        <w:pStyle w:val="Akapitzlist"/>
        <w:widowControl w:val="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2024 – w wysokości 7.568.936,65 zł, który zostanie sfinansowany przychodami pochodzącymi z nadwyżki budżetu o której mowa w art. 217 ust. 2 pkt 5 w kwocie 5.849.565,69 zł oraz wolnymi środkami o których mowa w art. 217 ust. 2 pkt 6 w kwocie 1.719.370,96 zł;</w:t>
      </w:r>
    </w:p>
    <w:p>
      <w:pPr>
        <w:pStyle w:val="Akapitzlist"/>
        <w:widowControl w:val="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2025 – w wysokości 4.096.117,19 zł, który zostanie sfinansowany przychodami pochodzącymi z nadwyżki budżetu o której mowa w art. 217 ust. 2 pkt 5 .</w:t>
      </w: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dokonaniu zmian, Gmina Sadki spełnia relację, o której mowa w art.243 ustawy o finansach publicznych.</w:t>
      </w:r>
    </w:p>
    <w:sectPr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0DF63649"/>
    <w:multiLevelType w:val="hybridMultilevel"/>
    <w:tmpl w:val="CB065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6EDB"/>
    <w:multiLevelType w:val="hybridMultilevel"/>
    <w:tmpl w:val="35C8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90720"/>
    <w:multiLevelType w:val="hybridMultilevel"/>
    <w:tmpl w:val="352407D0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D761601"/>
    <w:multiLevelType w:val="hybridMultilevel"/>
    <w:tmpl w:val="CB065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1B4E-D65D-4068-9A28-A5A3859E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21</cp:revision>
  <cp:lastPrinted>2023-03-29T08:19:00Z</cp:lastPrinted>
  <dcterms:created xsi:type="dcterms:W3CDTF">2023-01-25T07:47:00Z</dcterms:created>
  <dcterms:modified xsi:type="dcterms:W3CDTF">2023-03-31T05:47:00Z</dcterms:modified>
</cp:coreProperties>
</file>