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3A" w:rsidRDefault="005E4AFA">
      <w:pPr>
        <w:pStyle w:val="Nagwek40"/>
        <w:keepNext/>
        <w:keepLines/>
        <w:shd w:val="clear" w:color="auto" w:fill="auto"/>
      </w:pPr>
      <w:bookmarkStart w:id="0" w:name="bookmark0"/>
      <w:r>
        <w:t>Załącznik Nr 2</w:t>
      </w:r>
      <w:bookmarkEnd w:id="0"/>
    </w:p>
    <w:p w:rsidR="00F43E3A" w:rsidRDefault="00F43E3A">
      <w:pPr>
        <w:pStyle w:val="Nagwek40"/>
        <w:keepNext/>
        <w:keepLines/>
        <w:shd w:val="clear" w:color="auto" w:fill="auto"/>
        <w:spacing w:after="835"/>
      </w:pPr>
    </w:p>
    <w:p w:rsidR="00F43E3A" w:rsidRDefault="005E4AFA">
      <w:pPr>
        <w:pStyle w:val="Nagwek20"/>
        <w:keepNext/>
        <w:keepLines/>
        <w:shd w:val="clear" w:color="auto" w:fill="auto"/>
        <w:tabs>
          <w:tab w:val="left" w:leader="dot" w:pos="2294"/>
          <w:tab w:val="left" w:leader="dot" w:pos="3475"/>
        </w:tabs>
        <w:spacing w:before="0"/>
        <w:ind w:left="480"/>
      </w:pPr>
      <w:bookmarkStart w:id="1" w:name="bookmark2"/>
      <w:r>
        <w:tab/>
        <w:t>dnia</w:t>
      </w:r>
      <w:r>
        <w:tab/>
      </w:r>
      <w:bookmarkEnd w:id="1"/>
    </w:p>
    <w:p w:rsidR="00F43E3A" w:rsidRDefault="002654CE">
      <w:pPr>
        <w:pStyle w:val="Nagwek50"/>
        <w:keepNext/>
        <w:keepLines/>
        <w:shd w:val="clear" w:color="auto" w:fill="auto"/>
        <w:tabs>
          <w:tab w:val="left" w:pos="2971"/>
        </w:tabs>
        <w:ind w:left="480"/>
        <w:sectPr w:rsidR="00F43E3A">
          <w:pgSz w:w="11900" w:h="16840"/>
          <w:pgMar w:top="1253" w:right="1032" w:bottom="1176" w:left="691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188210" simplePos="0" relativeHeight="251657728" behindDoc="1" locked="0" layoutInCell="1" allowOverlap="1">
                <wp:simplePos x="0" y="0"/>
                <wp:positionH relativeFrom="margin">
                  <wp:posOffset>-3136265</wp:posOffset>
                </wp:positionH>
                <wp:positionV relativeFrom="paragraph">
                  <wp:posOffset>12700</wp:posOffset>
                </wp:positionV>
                <wp:extent cx="948055" cy="140970"/>
                <wp:effectExtent l="0" t="254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E3A" w:rsidRDefault="005E4AFA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(Nazwa oferenta)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6.95pt;margin-top:1pt;width:74.65pt;height:11.1pt;z-index:-251658752;visibility:visible;mso-wrap-style:square;mso-width-percent:0;mso-height-percent:0;mso-wrap-distance-left:5pt;mso-wrap-distance-top:0;mso-wrap-distance-right:17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CQqgIAAKg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" filled="f" stroked="f">
                <v:textbox style="mso-fit-shape-to-text:t" inset="0,0,0,0">
                  <w:txbxContent>
                    <w:p w:rsidR="00F43E3A" w:rsidRDefault="005E4AFA">
                      <w:pPr>
                        <w:pStyle w:val="Teksttreci20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(Nazwa oferenta)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3"/>
      <w:r w:rsidR="005E4AFA">
        <w:t>(miejscowość)</w:t>
      </w:r>
      <w:r w:rsidR="005E4AFA">
        <w:tab/>
        <w:t>(data)</w:t>
      </w:r>
      <w:bookmarkEnd w:id="2"/>
    </w:p>
    <w:p w:rsidR="00F43E3A" w:rsidRDefault="00F43E3A">
      <w:pPr>
        <w:spacing w:before="96" w:after="96" w:line="240" w:lineRule="exact"/>
        <w:rPr>
          <w:sz w:val="19"/>
          <w:szCs w:val="19"/>
        </w:rPr>
      </w:pPr>
    </w:p>
    <w:p w:rsidR="00F43E3A" w:rsidRDefault="00F43E3A">
      <w:pPr>
        <w:rPr>
          <w:sz w:val="2"/>
          <w:szCs w:val="2"/>
        </w:rPr>
        <w:sectPr w:rsidR="00F43E3A">
          <w:type w:val="continuous"/>
          <w:pgSz w:w="11900" w:h="16840"/>
          <w:pgMar w:top="1174" w:right="0" w:bottom="1136" w:left="0" w:header="0" w:footer="3" w:gutter="0"/>
          <w:cols w:space="720"/>
          <w:noEndnote/>
          <w:docGrid w:linePitch="360"/>
        </w:sectPr>
      </w:pPr>
    </w:p>
    <w:p w:rsidR="00F43E3A" w:rsidRDefault="005E4AFA">
      <w:pPr>
        <w:pStyle w:val="Nagwek50"/>
        <w:keepNext/>
        <w:keepLines/>
        <w:shd w:val="clear" w:color="auto" w:fill="auto"/>
        <w:spacing w:after="825"/>
        <w:jc w:val="left"/>
      </w:pPr>
      <w:bookmarkStart w:id="3" w:name="bookmark4"/>
      <w:r>
        <w:t>( dane adresowe/teleadresowe oraz dane kontaktowe)</w:t>
      </w:r>
      <w:bookmarkEnd w:id="3"/>
    </w:p>
    <w:p w:rsidR="00F43E3A" w:rsidRDefault="005E4AFA">
      <w:pPr>
        <w:pStyle w:val="Nagwek10"/>
        <w:keepNext/>
        <w:keepLines/>
        <w:shd w:val="clear" w:color="auto" w:fill="auto"/>
        <w:spacing w:before="0" w:after="554"/>
      </w:pPr>
      <w:bookmarkStart w:id="4" w:name="bookmark5"/>
      <w:r>
        <w:t xml:space="preserve">Dotyczy Zapytania Ofertowego Nr </w:t>
      </w:r>
      <w:r w:rsidR="00BF435F">
        <w:t>R0.271.4.2020 z dnia 16</w:t>
      </w:r>
      <w:bookmarkStart w:id="5" w:name="_GoBack"/>
      <w:bookmarkEnd w:id="5"/>
      <w:r>
        <w:t xml:space="preserve"> grudnia 2020 r.</w:t>
      </w:r>
      <w:bookmarkEnd w:id="4"/>
    </w:p>
    <w:p w:rsidR="00F43E3A" w:rsidRDefault="005E4AFA">
      <w:pPr>
        <w:pStyle w:val="Nagwek10"/>
        <w:keepNext/>
        <w:keepLines/>
        <w:shd w:val="clear" w:color="auto" w:fill="auto"/>
        <w:spacing w:before="0" w:after="0" w:line="274" w:lineRule="exact"/>
      </w:pPr>
      <w:bookmarkStart w:id="6" w:name="bookmark6"/>
      <w:r>
        <w:t>„ WYBÓR INSTYTUCJI FINANSOWEJ ZARZĄDZAJĄCEJ I PROWADZĄCEJ PRACOWNICZE PLANY KAPITAŁOWE ( PPK)”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3206"/>
      </w:tblGrid>
      <w:tr w:rsidR="00F43E3A">
        <w:trPr>
          <w:trHeight w:hRule="exact" w:val="682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Teksttreci285pt"/>
              </w:rPr>
              <w:t>KRYTERIUM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Teksttreci212pt"/>
              </w:rPr>
              <w:t>OPIS SPEŁNIANIA KRYTERIUM</w:t>
            </w:r>
          </w:p>
        </w:tc>
      </w:tr>
      <w:tr w:rsidR="00F43E3A">
        <w:trPr>
          <w:trHeight w:hRule="exact" w:val="384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Efektywność w zarządzaniu aktywami ( stopa zwrotu z ostatnich 3 lat)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52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85pt"/>
              </w:rPr>
              <w:t>Posiadane doświadczenie w zarządzaniu funduszami inwestycyjnymi lub funduszami emerytalnymi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84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Wartość zarządzanych aktywów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725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Funkcjonalność oprogramowania PPK, w tym możliwość i sposób generowania raportów i zestawień, funkcjonalność systemowego powiadamiania o zbliżających się terminach wpłat, ponownego zapisu oraz innych obowiązkach, dodatkowe benefity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730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85pt"/>
              </w:rPr>
              <w:t>Dodatkowe korzyści dla Zamawiającego związane z funkcjonowaniem w systemie w tym dodatkowe punkty za dedykowaną infolinię, platformę internetową, szkolenia oraz inne funkcjonalności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523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Dodatkowe benefity dla uczestników PPK ewentualne benefity z tym związane, programy rabatowe u partnerów instytucji finansowej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51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Proces i polityka inwestycyjna, czyli sposób w jaki zarządzany jest kapitał klientów, w tym uwzględnienie aspektów ESG (environmental-socialgovemance).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84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Koszty działalności funduszu (ar. 50 ustawy PPK)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84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Brak opłat za zarządzanie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9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Brak opłat za osiągnięty wynik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43E3A" w:rsidRDefault="00F43E3A">
      <w:pPr>
        <w:framePr w:w="9658" w:wrap="notBeside" w:vAnchor="text" w:hAnchor="text" w:xAlign="center" w:y="1"/>
        <w:rPr>
          <w:sz w:val="2"/>
          <w:szCs w:val="2"/>
        </w:rPr>
      </w:pPr>
    </w:p>
    <w:p w:rsidR="00F43E3A" w:rsidRDefault="00F43E3A">
      <w:pPr>
        <w:spacing w:line="10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800"/>
      </w:tblGrid>
      <w:tr w:rsidR="00F43E3A">
        <w:trPr>
          <w:trHeight w:hRule="exact" w:val="523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KOSZTY DZIAŁALNOŚCI FUNDUSZU ( art. 50 ust. 1 pkt</w:t>
            </w:r>
          </w:p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1- 11 ustawy o PPK)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</w:tc>
      </w:tr>
      <w:tr w:rsidR="00F43E3A">
        <w:trPr>
          <w:trHeight w:hRule="exact" w:val="93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85pt"/>
              </w:rPr>
              <w:t>Prowizje i opłaty na rzecz firm inwestycyjnych lub banków, z których fundusz zdefiniowanej daty korzysta, zawierając transakcje w ramach lokowania aktywów funduszu zdefiniowanej daty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72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Teksttreci285pt"/>
              </w:rPr>
              <w:t>prowizje i opłaty związane z umowami i transakcjami funduszu zdefiniowanej daty, zawieranymi w ramach lokowania aktywów funduszu zdefiniowanej daty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542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prowizje i opłaty związane z przechowywaniem aktywów funduszu zdefiniowanej daty;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43E3A" w:rsidRDefault="00F43E3A">
      <w:pPr>
        <w:framePr w:w="9638" w:wrap="notBeside" w:vAnchor="text" w:hAnchor="text" w:xAlign="center" w:y="1"/>
        <w:rPr>
          <w:sz w:val="2"/>
          <w:szCs w:val="2"/>
        </w:rPr>
      </w:pPr>
    </w:p>
    <w:p w:rsidR="00F43E3A" w:rsidRDefault="005E4AF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3"/>
        <w:gridCol w:w="4814"/>
      </w:tblGrid>
      <w:tr w:rsidR="00F43E3A">
        <w:trPr>
          <w:trHeight w:hRule="exact" w:val="955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85pt"/>
              </w:rPr>
              <w:lastRenderedPageBreak/>
              <w:t>prowizje i opłaty na rzecz instytucji depozytowych i rozliczeniowych, z których usług fundusz zdefiniowanej daty korzysta w ramach lokowania aktywów funduszu zdefiniowanej daty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8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wynagrodzenie depozytariusza funduszu zdefiniowanej daty;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134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związane z prowadzeniem rejestru uczestników funduszu inwestycyjnego będącego funduszem zdefiniowanej daty, subrejestru uczestników subfunduszu będącego funduszem zdefiniowanej daty wydzielonego w funduszu inwestycyjnym z wydzielonymi subfunduszami, lub rejestru członków funduszu emerytalnego będącego funduszem zdefiniowanej daty;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730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podatki i opłaty, wymagane w związku z działalnością funduszu zdefiniowanej daty, w tym opłaty za zezwolenia, jeżeli obowiązek ich poniesienia wynika z przepisów prawa;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1142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85pt"/>
              </w:rPr>
              <w:t>ogłoszeń wymaganych w związku z działalnością funduszu zdefiniowanej daty postanowieniami statutu funduszu inwestycyjnego, statutu funduszu emerytalnego, regulaminu ubezpieczeniowego funduszu kapitałowego lub przepisami prawa;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518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druku i publikacji materiałów informacyjnych funduszu zdefiniowanej daty wymaganych przepisami prawa;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>
        <w:trPr>
          <w:trHeight w:hRule="exact" w:val="38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E3A" w:rsidRDefault="005E4AFA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likwidacji funduszu zdefiniowanej daty;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3E3A" w:rsidTr="002654CE">
        <w:trPr>
          <w:trHeight w:hRule="exact" w:val="403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E3A" w:rsidRDefault="005E4AFA" w:rsidP="002654CE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Teksttreci285pt"/>
              </w:rPr>
              <w:t>wynagrodzenie likwidatora funduszu zdefiniowanej daty.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3A" w:rsidRDefault="00F43E3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43E3A" w:rsidRDefault="00F43E3A">
      <w:pPr>
        <w:framePr w:w="9658" w:wrap="notBeside" w:vAnchor="text" w:hAnchor="text" w:xAlign="center" w:y="1"/>
        <w:rPr>
          <w:sz w:val="2"/>
          <w:szCs w:val="2"/>
        </w:rPr>
      </w:pPr>
    </w:p>
    <w:p w:rsidR="00F43E3A" w:rsidRDefault="00F43E3A">
      <w:pPr>
        <w:rPr>
          <w:sz w:val="2"/>
          <w:szCs w:val="2"/>
        </w:rPr>
      </w:pPr>
    </w:p>
    <w:p w:rsidR="00F43E3A" w:rsidRDefault="005E4AFA">
      <w:pPr>
        <w:pStyle w:val="Nagwek20"/>
        <w:keepNext/>
        <w:keepLines/>
        <w:shd w:val="clear" w:color="auto" w:fill="auto"/>
        <w:spacing w:before="540" w:after="274"/>
        <w:jc w:val="left"/>
      </w:pPr>
      <w:bookmarkStart w:id="7" w:name="bookmark7"/>
      <w:r>
        <w:t>Na potwierdzenie informacji zawartych powyżej przedkładam następujące dokumenty:</w:t>
      </w:r>
      <w:bookmarkEnd w:id="7"/>
    </w:p>
    <w:p w:rsidR="00F43E3A" w:rsidRDefault="005E4AFA">
      <w:pPr>
        <w:pStyle w:val="Nagwek30"/>
        <w:keepNext/>
        <w:keepLines/>
        <w:shd w:val="clear" w:color="auto" w:fill="auto"/>
        <w:spacing w:before="0"/>
      </w:pPr>
      <w:bookmarkStart w:id="8" w:name="bookmark8"/>
      <w:r>
        <w:t>1</w:t>
      </w:r>
      <w:bookmarkEnd w:id="8"/>
    </w:p>
    <w:p w:rsidR="00F43E3A" w:rsidRDefault="005E4AFA">
      <w:pPr>
        <w:pStyle w:val="Numernagwka30"/>
        <w:keepNext/>
        <w:keepLines/>
        <w:shd w:val="clear" w:color="auto" w:fill="auto"/>
      </w:pPr>
      <w:r>
        <w:rPr>
          <w:rStyle w:val="Numernagwka312pt"/>
        </w:rPr>
        <w:t>2</w:t>
      </w:r>
      <w:r>
        <w:t>.</w:t>
      </w:r>
    </w:p>
    <w:p w:rsidR="00F43E3A" w:rsidRDefault="005E4AFA">
      <w:pPr>
        <w:pStyle w:val="Nagwek320"/>
        <w:keepNext/>
        <w:keepLines/>
        <w:shd w:val="clear" w:color="auto" w:fill="auto"/>
        <w:spacing w:after="321"/>
      </w:pPr>
      <w:bookmarkStart w:id="9" w:name="bookmark9"/>
      <w:r>
        <w:t>3</w:t>
      </w:r>
      <w:bookmarkEnd w:id="9"/>
    </w:p>
    <w:p w:rsidR="00F43E3A" w:rsidRDefault="005E4AFA">
      <w:pPr>
        <w:pStyle w:val="Teksttreci20"/>
        <w:shd w:val="clear" w:color="auto" w:fill="auto"/>
        <w:ind w:left="5700"/>
      </w:pPr>
      <w:r>
        <w:t>( Pieczątka i podpis Oferenta)</w:t>
      </w:r>
    </w:p>
    <w:sectPr w:rsidR="00F43E3A">
      <w:type w:val="continuous"/>
      <w:pgSz w:w="11900" w:h="16840"/>
      <w:pgMar w:top="1174" w:right="1026" w:bottom="1136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9D" w:rsidRDefault="0046779D">
      <w:r>
        <w:separator/>
      </w:r>
    </w:p>
  </w:endnote>
  <w:endnote w:type="continuationSeparator" w:id="0">
    <w:p w:rsidR="0046779D" w:rsidRDefault="0046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9D" w:rsidRDefault="0046779D"/>
  </w:footnote>
  <w:footnote w:type="continuationSeparator" w:id="0">
    <w:p w:rsidR="0046779D" w:rsidRDefault="004677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3A"/>
    <w:rsid w:val="002654CE"/>
    <w:rsid w:val="0046779D"/>
    <w:rsid w:val="00497342"/>
    <w:rsid w:val="005E4AFA"/>
    <w:rsid w:val="006463F3"/>
    <w:rsid w:val="00BF435F"/>
    <w:rsid w:val="00F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2185A-551D-4A03-B37F-5771C375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umernagwka3">
    <w:name w:val="Numer nagłówka #3_"/>
    <w:basedOn w:val="Domylnaczcionkaakapitu"/>
    <w:link w:val="Numernagw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umernagwka312pt">
    <w:name w:val="Numer nagłówka #3 + 12 pt"/>
    <w:basedOn w:val="Numernagwk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10" w:lineRule="exact"/>
      <w:jc w:val="right"/>
      <w:outlineLvl w:val="3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80" w:line="266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line="222" w:lineRule="exact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60" w:after="56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80" w:line="274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Numernagwka30">
    <w:name w:val="Numer nagłówka #3"/>
    <w:basedOn w:val="Normalny"/>
    <w:link w:val="Numernagwka3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after="280" w:line="274" w:lineRule="exact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Sekretarz Gminy Sadki</cp:lastModifiedBy>
  <cp:revision>3</cp:revision>
  <dcterms:created xsi:type="dcterms:W3CDTF">2020-12-15T15:24:00Z</dcterms:created>
  <dcterms:modified xsi:type="dcterms:W3CDTF">2020-12-16T13:33:00Z</dcterms:modified>
</cp:coreProperties>
</file>