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D14FF" w14:textId="3B7A055D" w:rsidR="00421D38" w:rsidRPr="009B466B" w:rsidRDefault="008F6658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/>
          <w:bCs/>
          <w:sz w:val="22"/>
          <w:szCs w:val="22"/>
          <w:lang w:val="pl-PL"/>
        </w:rPr>
        <w:t>-</w:t>
      </w:r>
      <w:r w:rsidR="008C41C0" w:rsidRPr="009B466B">
        <w:rPr>
          <w:rFonts w:ascii="Book Antiqua" w:eastAsia="Times New Roman" w:hAnsi="Book Antiqua"/>
          <w:bCs/>
          <w:sz w:val="22"/>
          <w:szCs w:val="22"/>
          <w:lang w:val="pl-PL"/>
        </w:rPr>
        <w:t xml:space="preserve"> </w:t>
      </w:r>
      <w:r w:rsidR="00421D38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Kierownik Jednostki Samorządu Terytorialnego (dalej JST)  - w rozumieniu art. 33 ust. 3 Ustawy o samorządzie gminnym (Dz.U.2018.994 tj. z dnia 2018.05.24)*</w:t>
      </w:r>
    </w:p>
    <w:p w14:paraId="5C8331AE" w14:textId="77777777" w:rsidR="001C3470" w:rsidRPr="009B466B" w:rsidRDefault="001C3470" w:rsidP="00701666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447C0E60" w14:textId="35092916" w:rsidR="00701666" w:rsidRPr="009B466B" w:rsidRDefault="00701666" w:rsidP="00701666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- Zarząd Powiatu  -  w rozumieniu art. 26 Ustawy z dnia 5 czerwca 1998 r. o samorządzie </w:t>
      </w:r>
      <w:r w:rsidR="000B466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p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owiatowym (Dz.U.2018.995 tj. z 2018.05.24)</w:t>
      </w:r>
      <w:r w:rsidR="000B466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* </w:t>
      </w:r>
    </w:p>
    <w:p w14:paraId="7F5B4C8F" w14:textId="77777777" w:rsidR="000B4662" w:rsidRPr="009B466B" w:rsidRDefault="000B4662" w:rsidP="00701666">
      <w:pPr>
        <w:rPr>
          <w:rFonts w:ascii="Book Antiqua" w:eastAsia="Times New Roman" w:hAnsi="Book Antiqua"/>
          <w:lang w:val="pl-PL"/>
        </w:rPr>
      </w:pPr>
    </w:p>
    <w:p w14:paraId="368A75AB" w14:textId="77777777" w:rsidR="00D04FF9" w:rsidRPr="009B466B" w:rsidRDefault="00D04FF9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795AC8A6" w14:textId="34261BE6" w:rsidR="00435CA5" w:rsidRPr="009B466B" w:rsidRDefault="00421D38" w:rsidP="009B466B">
      <w:pPr>
        <w:jc w:val="both"/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Dane</w:t>
      </w:r>
      <w:r w:rsidR="00093349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wnioskodawcy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znajdują się poniżej oraz - w załączonym pliku sygnowanym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</w:t>
      </w:r>
      <w:r w:rsidRPr="009B466B">
        <w:rPr>
          <w:rStyle w:val="apple-converted-space"/>
          <w:rFonts w:ascii="Book Antiqua" w:eastAsia="Times New Roman" w:hAnsi="Book Antiqua" w:cs="ArialMT"/>
          <w:color w:val="000000"/>
          <w:sz w:val="21"/>
          <w:szCs w:val="21"/>
          <w:lang w:val="pl-PL"/>
        </w:rPr>
        <w:t> </w:t>
      </w:r>
      <w:r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>Data dostarczenia - zgodna z dyspozycją art. 61 pkt. 2 Ustawy Kodeks Cywilny (Dz.U.2018.1025 tj. z dnia 2018.05.29)</w:t>
      </w:r>
      <w:r w:rsidR="00282823"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 xml:space="preserve"> </w:t>
      </w:r>
    </w:p>
    <w:p w14:paraId="7B8EA79A" w14:textId="77777777" w:rsidR="00870269" w:rsidRDefault="00870269" w:rsidP="009B466B">
      <w:pPr>
        <w:jc w:val="both"/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</w:pPr>
    </w:p>
    <w:p w14:paraId="4DBDC8B6" w14:textId="73616C8F" w:rsidR="00421D38" w:rsidRPr="009B466B" w:rsidRDefault="00282823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>Adresatem Petycji - jest Organ ujawniony w komparycji - jednoznacznie identyfikowalny za pomocą uzyskanego z Biuletynu Informacji Publicznej Urzędu - adresu e-mail !</w:t>
      </w:r>
    </w:p>
    <w:p w14:paraId="2024A229" w14:textId="77777777" w:rsidR="003324F5" w:rsidRPr="009B466B" w:rsidRDefault="003324F5" w:rsidP="009B466B">
      <w:pPr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77648758" w14:textId="17C3040A" w:rsidR="00D31EB3" w:rsidRDefault="00D31EB3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2F7EAE27" w14:textId="77777777" w:rsidR="00865BD7" w:rsidRPr="009B466B" w:rsidRDefault="00865BD7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4530A93B" w14:textId="77777777" w:rsidR="00870269" w:rsidRDefault="00870269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45007DDB" w14:textId="3D38C029" w:rsidR="00AB356D" w:rsidRPr="009B466B" w:rsidRDefault="00126A9E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Od: </w:t>
      </w:r>
    </w:p>
    <w:p w14:paraId="3EE91380" w14:textId="77777777" w:rsidR="00126A9E" w:rsidRPr="00865BD7" w:rsidRDefault="00126A9E" w:rsidP="003324F5">
      <w:pPr>
        <w:ind w:left="2124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 xml:space="preserve">Fundacja Rozwoju Obrotu </w:t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>Bezgotówkowego</w:t>
      </w:r>
    </w:p>
    <w:p w14:paraId="0E9DE048" w14:textId="78527FD5" w:rsidR="00126A9E" w:rsidRPr="00865BD7" w:rsidRDefault="003324F5" w:rsidP="003324F5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u</w:t>
      </w:r>
      <w:r w:rsidR="00126A9E"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l. Kruczkowskiego 4b lok. 13</w:t>
      </w:r>
    </w:p>
    <w:p w14:paraId="59B1E845" w14:textId="77777777" w:rsidR="00126A9E" w:rsidRPr="00865BD7" w:rsidRDefault="00126A9E" w:rsidP="003324F5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00-412 Warszawa</w:t>
      </w:r>
    </w:p>
    <w:p w14:paraId="19288F29" w14:textId="29EBE2B0" w:rsidR="00126A9E" w:rsidRDefault="00126A9E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046644F8" w14:textId="77777777" w:rsidR="003324F5" w:rsidRPr="009B466B" w:rsidRDefault="003324F5" w:rsidP="003324F5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6D2FA13A" w14:textId="56B64E73" w:rsidR="00292B73" w:rsidRPr="009B466B" w:rsidRDefault="00292B73" w:rsidP="003264B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II) Petycja Odrębna: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oznaczoną - I i odrębną petycję oznaczoną II  - vide -  J. Borkowski (w:) B. Adamiak, J. Borkowski, Kodeks postępowania…, s. 668; por. także art. 12 ust. 1 komentowanej ustawy - dostępne w sieci Internet.  </w:t>
      </w:r>
    </w:p>
    <w:p w14:paraId="558FC5A9" w14:textId="77777777" w:rsidR="003264BB" w:rsidRDefault="00292B73" w:rsidP="003264BB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Dla odsepar</w:t>
      </w:r>
      <w:r w:rsidR="005208A0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owania od wniosku – petycj</w:t>
      </w:r>
      <w:r w:rsidR="003264B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i</w:t>
      </w:r>
      <w:r w:rsidR="005208A0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- postulaty związane z petycją – numeruje</w:t>
      </w:r>
      <w:r w:rsidR="000C7216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się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 nowymi oznaczeniami 1P, 2P, etc</w:t>
      </w:r>
    </w:p>
    <w:p w14:paraId="721F9C82" w14:textId="77777777" w:rsidR="003264BB" w:rsidRDefault="003264BB" w:rsidP="003264BB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769E7057" w14:textId="079ECCB3" w:rsidR="00AB356D" w:rsidRPr="003264BB" w:rsidRDefault="00126A9E" w:rsidP="00870269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1</w:t>
      </w:r>
      <w:r w:rsidR="00292B73" w:rsidRPr="009B466B">
        <w:rPr>
          <w:rFonts w:ascii="Book Antiqua" w:eastAsia="Times New Roman" w:hAnsi="Book Antiqua"/>
          <w:sz w:val="22"/>
          <w:szCs w:val="22"/>
          <w:lang w:val="pl-PL"/>
        </w:rPr>
        <w:t>P</w:t>
      </w:r>
      <w:r w:rsidR="00AB356D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) Na mocy art. 63 Konstytucji RP w ramach przepisów art 2 pkt 1, 2 i 3 Ustawy z dnia 11 lipca 2014 r. o petycjach (Dz.U.2014.1195 z dnia 2014.09.05) w związku z art. 241 Kodeksu postępowania administracyjnego (wnioski optymalizujące funkcjonowanie administracji publicznej), wnosimy petycję do </w:t>
      </w:r>
      <w:r w:rsidR="006A4342" w:rsidRPr="009B466B">
        <w:rPr>
          <w:rFonts w:ascii="Book Antiqua" w:eastAsia="Times New Roman" w:hAnsi="Book Antiqua"/>
          <w:sz w:val="22"/>
          <w:szCs w:val="22"/>
          <w:lang w:val="pl-PL"/>
        </w:rPr>
        <w:t>organu gminy</w:t>
      </w:r>
      <w:r w:rsidR="00AB356D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 próbę </w:t>
      </w:r>
      <w:r w:rsidR="00AB356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dokonania analizy - możliwości wdrożenia w Urzędzie procedur związanych z pełnym zabezpieczeniem potrzeb Interesantów - dot. płatności bezgotówkowych - wg. powyżej zawartego szerokiego opisu. </w:t>
      </w:r>
    </w:p>
    <w:p w14:paraId="18E24A0F" w14:textId="77777777" w:rsidR="003264BB" w:rsidRDefault="003264BB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3748AEB8" w14:textId="41C40AE2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2</w:t>
      </w:r>
      <w:r w:rsidR="00292B73" w:rsidRPr="009B466B">
        <w:rPr>
          <w:rFonts w:ascii="Book Antiqua" w:eastAsia="Times New Roman" w:hAnsi="Book Antiqua"/>
          <w:sz w:val="22"/>
          <w:szCs w:val="22"/>
          <w:lang w:val="pl-PL"/>
        </w:rPr>
        <w:t>P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) Na bazie dokonanej analizy wnosimy o krótkie, kilkuzdaniowe podsumowanie w odpowiedzi na niniejszą petycję - mocnych i słabych stron ewentualnego wdrożenia procedur pełnego zaspokojenia żądań Interesantów - pod kątem płatności bezgotówkowych w Urzędzie. </w:t>
      </w:r>
    </w:p>
    <w:p w14:paraId="3863B4A1" w14:textId="77777777" w:rsidR="00550409" w:rsidRPr="009B466B" w:rsidRDefault="00550409" w:rsidP="00550409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lastRenderedPageBreak/>
        <w:t>Oczywiście w odniesieniu do obecnie panującego w Jednostce stanu faktycznego.  </w:t>
      </w:r>
    </w:p>
    <w:p w14:paraId="13CC2A72" w14:textId="67508FEA" w:rsidR="00840540" w:rsidRPr="009B466B" w:rsidRDefault="00840540" w:rsidP="00840540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3P) W trybie wyżej powołanych przepisów prawa – wnosimy o przekazanie poniższego wniosku – per analogiam jak wniosek otrzymany przez Gminę –  do wszystkich podległych Gminie Jednostek Organizacyjnych: Szkó</w:t>
      </w:r>
      <w:r w:rsidR="004F4FD2" w:rsidRPr="009B466B">
        <w:rPr>
          <w:rFonts w:ascii="Book Antiqua" w:eastAsia="Times New Roman" w:hAnsi="Book Antiqua"/>
          <w:sz w:val="22"/>
          <w:szCs w:val="22"/>
          <w:lang w:val="pl-PL"/>
        </w:rPr>
        <w:t>ł, Spółek Komunalnych Zakładów B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udżetowych, Instytucji Kultury i związanych z opieką społeczną, etc</w:t>
      </w:r>
      <w:r w:rsidR="00143AE3">
        <w:rPr>
          <w:rFonts w:ascii="Book Antiqua" w:eastAsia="Times New Roman" w:hAnsi="Book Antiqua"/>
          <w:sz w:val="22"/>
          <w:szCs w:val="22"/>
          <w:lang w:val="pl-PL"/>
        </w:rPr>
        <w:t>.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1A8512D6" w14:textId="422A4864" w:rsidR="00840540" w:rsidRPr="009B466B" w:rsidRDefault="00840540" w:rsidP="00840540">
      <w:pPr>
        <w:spacing w:after="240"/>
        <w:jc w:val="both"/>
        <w:rPr>
          <w:rFonts w:ascii="Book Antiqua" w:eastAsia="Times New Roman" w:hAnsi="Book Antiqua"/>
          <w:b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sz w:val="22"/>
          <w:szCs w:val="22"/>
          <w:lang w:val="pl-PL"/>
        </w:rPr>
        <w:t xml:space="preserve">Jeśli powyższa podstawa prawna nie zostanie uwzględniona - wnosimy o przekazanie poniższego pisma do Kierowników Jednostek Organizacyjnych miejscowo właściwych dla terenu Gminy  -  na postawie art 65 </w:t>
      </w:r>
      <w:r w:rsidR="00133686" w:rsidRPr="009B466B">
        <w:rPr>
          <w:rFonts w:ascii="Book Antiqua" w:eastAsia="Times New Roman" w:hAnsi="Book Antiqua"/>
          <w:b/>
          <w:sz w:val="22"/>
          <w:szCs w:val="22"/>
          <w:lang w:val="pl-PL"/>
        </w:rPr>
        <w:t xml:space="preserve">w związku z art. 241 i 243 </w:t>
      </w:r>
      <w:r w:rsidRPr="009B466B">
        <w:rPr>
          <w:rFonts w:ascii="Book Antiqua" w:eastAsia="Times New Roman" w:hAnsi="Book Antiqua"/>
          <w:b/>
          <w:sz w:val="22"/>
          <w:szCs w:val="22"/>
          <w:lang w:val="pl-PL"/>
        </w:rPr>
        <w:t>Ustawy z dnia 14 czerwca 1960 r. Kodeks postępowania administracyjnego.</w:t>
      </w:r>
    </w:p>
    <w:p w14:paraId="5CC97A3F" w14:textId="62DA61C0" w:rsidR="00550409" w:rsidRPr="009B466B" w:rsidRDefault="00840540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W udzielonej przez Gminę odpowiedzi wnosimy o podanie spisu wszystkich miejscowo właściwych dla Gminy Jednostek</w:t>
      </w:r>
      <w:r w:rsidR="00133686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Organizacyjnych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, którym przekazano </w:t>
      </w:r>
      <w:r w:rsidR="004F4FD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niniejszy wniosek. </w:t>
      </w:r>
    </w:p>
    <w:p w14:paraId="3D2795CC" w14:textId="27A05FF5" w:rsidR="00924102" w:rsidRPr="009760DD" w:rsidRDefault="00AB356D" w:rsidP="003264BB">
      <w:pPr>
        <w:jc w:val="both"/>
        <w:rPr>
          <w:rFonts w:ascii="Book Antiqua" w:eastAsia="Times New Roman" w:hAnsi="Book Antiqua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Aby zachować pełną jawność i transparentność działań </w:t>
      </w:r>
      <w:r w:rsidR="00126A9E" w:rsidRPr="009B466B">
        <w:rPr>
          <w:rFonts w:ascii="Book Antiqua" w:eastAsia="Times New Roman" w:hAnsi="Book Antiqua"/>
          <w:sz w:val="22"/>
          <w:szCs w:val="22"/>
          <w:lang w:val="pl-PL"/>
        </w:rPr>
        <w:t>wyrażamy zgodę na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opublikowanie treści petycji </w:t>
      </w:r>
      <w:r w:rsidR="00126A9E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wraz z danymi podmiotu składającego petycję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na stronie internetowej podmiotu rozpatrującego petycję lub urzędu go obsługującego (Adresata) </w:t>
      </w:r>
      <w:r w:rsidR="0092410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- </w:t>
      </w:r>
      <w:r w:rsidR="0092410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na podstawie art. 8 ust. 1 ww. Ustawy o petycjach   - co jest jednoznaczne z wyrażeniem zgody na publikację wszystkich danych podmiotu wnoszącego petycję. </w:t>
      </w:r>
      <w:r w:rsidR="00924102" w:rsidRPr="009760DD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Chcemy działać w pełni jawnie i transparentnie. </w:t>
      </w:r>
    </w:p>
    <w:p w14:paraId="64419F3D" w14:textId="77777777" w:rsidR="00C11478" w:rsidRPr="009B466B" w:rsidRDefault="00C11478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1C8D2680" w14:textId="4486C220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Pomimo, że nie wnioskujemy o informację przetworzoną w zakresie wymagającym znacznych nakładów pracy, uzasadniamy nasze pytania stosownie do brzmienia art. 3 ust. 1 pkt. 1 Ustawy o dostępie do informacji publicznej – tym, że przedmiotowa informacja oraz ewentualna późniejsza  próba optymalizacji tego obszaru wydaje się szczególnie istotna z punktu widzenia Interesu Społecznego. </w:t>
      </w:r>
    </w:p>
    <w:p w14:paraId="6E0AAF39" w14:textId="1374CA81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Aby zachować pełną jawność i transparentność działania – przewidujemy publikację wyników wnioskowania oraz wybranych odpowiedzi – w naszym portalu</w:t>
      </w:r>
      <w:r w:rsidR="00870269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="00870269" w:rsidRPr="00870269">
        <w:rPr>
          <w:rFonts w:ascii="Book Antiqua" w:eastAsia="Times New Roman" w:hAnsi="Book Antiqua"/>
          <w:sz w:val="22"/>
          <w:szCs w:val="22"/>
          <w:lang w:val="pl-PL"/>
        </w:rPr>
        <w:t>www.frob.pl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 </w:t>
      </w:r>
    </w:p>
    <w:p w14:paraId="2AF11CC9" w14:textId="77777777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Dane dotyczące sposobu odpowiedzi: </w:t>
      </w:r>
    </w:p>
    <w:p w14:paraId="7EEA2741" w14:textId="620D4D0A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zwrotne potwierdzenie otrzymania niniejszego wniosku - w trybie odnośnych przepisów -  na adres e-mail </w:t>
      </w:r>
      <w:hyperlink r:id="rId8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77F0D974" w14:textId="474263D9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to, aby odpowiedź w  przedmiocie powyższych pytań złożonych na mocy art. 61 </w:t>
      </w:r>
      <w:r w:rsidR="00787283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i 63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Konstytucji RP w związku z art.  241 KPA, została udzielona - zwrotnie na adres e-mail </w:t>
      </w:r>
      <w:hyperlink r:id="rId9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6DD32642" w14:textId="77777777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niewykonywanie telefonów do wnioskodawcy - stosownie do art. 14 §1 KPA  oraz przesyłanie odpowiedzi - jedynie w formie elektronicznej (bez użycia poczty konwencjonalnej)  pod podany wyżej adres: </w:t>
      </w:r>
      <w:hyperlink r:id="rId10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   - przypominamy</w:t>
      </w:r>
      <w:r w:rsidR="002770E6" w:rsidRPr="009B466B">
        <w:rPr>
          <w:rFonts w:ascii="Book Antiqua" w:eastAsia="Times New Roman" w:hAnsi="Book Antiqua"/>
          <w:sz w:val="22"/>
          <w:szCs w:val="22"/>
          <w:lang w:val="pl-PL"/>
        </w:rPr>
        <w:t>,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że zarówno Władza Ustawodawca</w:t>
      </w:r>
      <w:r w:rsidR="002770E6" w:rsidRPr="009B466B">
        <w:rPr>
          <w:rFonts w:ascii="Book Antiqua" w:eastAsia="Times New Roman" w:hAnsi="Book Antiqua"/>
          <w:sz w:val="22"/>
          <w:szCs w:val="22"/>
          <w:lang w:val="pl-PL"/>
        </w:rPr>
        <w:t>,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jak i Wykonawcza szczególną rolę przywiązuje w ostatnim czasie do komunikacji elektronicznej z Interesantami.   </w:t>
      </w:r>
    </w:p>
    <w:p w14:paraId="586F9A33" w14:textId="2D931A15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Wniosek został sygnowany kwalifikowanym podpisem elektronicznym - stosownie do wytycznych Ustawy z dnia 5 września 2016 r. o usługach zaufania oraz identyfikacji elektronicznej (Dz.U.2016.1579 dnia 2016.09.29)</w:t>
      </w:r>
    </w:p>
    <w:p w14:paraId="35EA6203" w14:textId="77777777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lastRenderedPageBreak/>
        <w:t>Dodatkowe informacje:</w:t>
      </w:r>
    </w:p>
    <w:p w14:paraId="7BBEDA90" w14:textId="02898325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Stosownie do art. 4 ust. 2 pkt. 1 Ustawy o petycjach (Dz.U.2018.870 t.j. z dnia 2018.05.10) -  osobą reprezentując</w:t>
      </w:r>
      <w:r w:rsidR="000B6841">
        <w:rPr>
          <w:rFonts w:ascii="Book Antiqua" w:eastAsia="Times New Roman" w:hAnsi="Book Antiqua"/>
          <w:sz w:val="22"/>
          <w:szCs w:val="22"/>
          <w:lang w:val="pl-PL"/>
        </w:rPr>
        <w:t>ą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Podmiot wnoszący petycję - jest Prezes Zarządu Robert Łaniewski </w:t>
      </w:r>
    </w:p>
    <w:p w14:paraId="63D3BF78" w14:textId="00EA8B84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Stosownie do art. 4 ust. 2 pkt. 5 ww. Ustawy - petycja niniejsza została złożona za pomocą środków komunikacji elektronicznej - a wskazanym zwrotnym adrese</w:t>
      </w:r>
      <w:r w:rsidR="00CC24D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m poczty elektronicznej jest: </w:t>
      </w:r>
      <w:hyperlink r:id="rId11" w:history="1">
        <w:r w:rsidR="009A7C0E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9A7C0E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52666F23" w14:textId="7078D278" w:rsidR="00F20570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Adresatem Petycji - jest Organ ujawniony w komparycji - jednoznacznie identyfikowalny za pomocą uzyskanego z Biuletynu Informacji Publicznej Urzędu - adresu e-mail</w:t>
      </w:r>
      <w:r w:rsidR="000B6841">
        <w:rPr>
          <w:rFonts w:ascii="Book Antiqua" w:eastAsia="Times New Roman" w:hAnsi="Book Antiqua"/>
          <w:sz w:val="22"/>
          <w:szCs w:val="22"/>
          <w:lang w:val="pl-PL"/>
        </w:rPr>
        <w:t>.</w:t>
      </w:r>
    </w:p>
    <w:p w14:paraId="0BAE60FE" w14:textId="77777777" w:rsidR="00F20570" w:rsidRPr="009B466B" w:rsidRDefault="00F20570" w:rsidP="00F005CF">
      <w:pPr>
        <w:spacing w:after="240"/>
        <w:rPr>
          <w:rFonts w:ascii="Book Antiqua" w:eastAsia="Times New Roman" w:hAnsi="Book Antiqua"/>
          <w:color w:val="000000" w:themeColor="text1"/>
          <w:sz w:val="22"/>
          <w:szCs w:val="22"/>
          <w:lang w:val="pl-PL"/>
        </w:rPr>
      </w:pPr>
    </w:p>
    <w:p w14:paraId="37DCE038" w14:textId="0E2EC848" w:rsidR="00F005CF" w:rsidRPr="009B466B" w:rsidRDefault="00CB341D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Z poważaniem</w:t>
      </w:r>
      <w:r w:rsidR="00F005CF"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, </w:t>
      </w:r>
    </w:p>
    <w:p w14:paraId="2F9295F1" w14:textId="26ADA1C8" w:rsidR="00F005CF" w:rsidRPr="009B466B" w:rsidRDefault="00F005CF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Robert Łaniewski</w:t>
      </w:r>
    </w:p>
    <w:p w14:paraId="6E24471A" w14:textId="77777777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</w:p>
    <w:p w14:paraId="562766CA" w14:textId="49C2FA34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Prezes Zarządu </w:t>
      </w:r>
    </w:p>
    <w:p w14:paraId="580586C3" w14:textId="430639C4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Fundacja Rozwoju Obrotu Bezgotówkowego</w:t>
      </w:r>
    </w:p>
    <w:p w14:paraId="64469BCF" w14:textId="4F729D9B" w:rsidR="00A356FC" w:rsidRPr="009B466B" w:rsidRDefault="00312731" w:rsidP="000510BD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  <w:hyperlink r:id="rId12" w:history="1">
        <w:r w:rsidR="00F005CF" w:rsidRPr="009B466B">
          <w:rPr>
            <w:rStyle w:val="Hipercze"/>
            <w:rFonts w:ascii="Book Antiqua" w:hAnsi="Book Antiqua"/>
            <w:sz w:val="22"/>
            <w:szCs w:val="22"/>
            <w:lang w:val="pl-PL"/>
          </w:rPr>
          <w:t>www.frob.pl</w:t>
        </w:r>
      </w:hyperlink>
      <w:r w:rsidR="00F005CF" w:rsidRPr="009B466B">
        <w:rPr>
          <w:rFonts w:ascii="Book Antiqua" w:hAnsi="Book Antiqua"/>
          <w:color w:val="262626"/>
          <w:sz w:val="22"/>
          <w:szCs w:val="22"/>
          <w:lang w:val="pl-PL"/>
        </w:rPr>
        <w:t xml:space="preserve"> </w:t>
      </w:r>
      <w:bookmarkStart w:id="0" w:name="_GoBack"/>
      <w:bookmarkEnd w:id="0"/>
    </w:p>
    <w:sectPr w:rsidR="00A356FC" w:rsidRPr="009B466B" w:rsidSect="007D4DF8">
      <w:headerReference w:type="default" r:id="rId13"/>
      <w:footerReference w:type="default" r:id="rId14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23D5B" w14:textId="77777777" w:rsidR="00312731" w:rsidRDefault="00312731" w:rsidP="00F005CF">
      <w:r>
        <w:separator/>
      </w:r>
    </w:p>
  </w:endnote>
  <w:endnote w:type="continuationSeparator" w:id="0">
    <w:p w14:paraId="6A3A2674" w14:textId="77777777" w:rsidR="00312731" w:rsidRDefault="00312731" w:rsidP="00F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155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2F54FA" w14:textId="77777777" w:rsidR="00F005CF" w:rsidRDefault="00F005C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0B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9DBBE7C" w14:textId="77777777" w:rsidR="00F005CF" w:rsidRDefault="00F005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2C44C" w14:textId="77777777" w:rsidR="00312731" w:rsidRDefault="00312731" w:rsidP="00F005CF">
      <w:r>
        <w:separator/>
      </w:r>
    </w:p>
  </w:footnote>
  <w:footnote w:type="continuationSeparator" w:id="0">
    <w:p w14:paraId="3A1F78C5" w14:textId="77777777" w:rsidR="00312731" w:rsidRDefault="00312731" w:rsidP="00F0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832D6" w14:textId="77777777" w:rsidR="00120147" w:rsidRDefault="001201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AAAEE1" wp14:editId="4703E673">
          <wp:simplePos x="0" y="0"/>
          <wp:positionH relativeFrom="page">
            <wp:align>left</wp:align>
          </wp:positionH>
          <wp:positionV relativeFrom="paragraph">
            <wp:posOffset>-447739</wp:posOffset>
          </wp:positionV>
          <wp:extent cx="7600950" cy="1066800"/>
          <wp:effectExtent l="0" t="0" r="0" b="0"/>
          <wp:wrapNone/>
          <wp:docPr id="17" name="Picture 0" descr="P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FA"/>
    <w:multiLevelType w:val="hybridMultilevel"/>
    <w:tmpl w:val="C69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6D3"/>
    <w:multiLevelType w:val="hybridMultilevel"/>
    <w:tmpl w:val="2744A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577"/>
    <w:multiLevelType w:val="hybridMultilevel"/>
    <w:tmpl w:val="F196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85948"/>
    <w:multiLevelType w:val="hybridMultilevel"/>
    <w:tmpl w:val="F196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04BC"/>
    <w:multiLevelType w:val="hybridMultilevel"/>
    <w:tmpl w:val="F6A0E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6D"/>
    <w:rsid w:val="00013029"/>
    <w:rsid w:val="00024ED0"/>
    <w:rsid w:val="00024EEE"/>
    <w:rsid w:val="00045684"/>
    <w:rsid w:val="000510BD"/>
    <w:rsid w:val="00093349"/>
    <w:rsid w:val="000B4662"/>
    <w:rsid w:val="000B6841"/>
    <w:rsid w:val="000C7216"/>
    <w:rsid w:val="00120147"/>
    <w:rsid w:val="00126A9E"/>
    <w:rsid w:val="00133686"/>
    <w:rsid w:val="00134EEB"/>
    <w:rsid w:val="00143AE3"/>
    <w:rsid w:val="001A277F"/>
    <w:rsid w:val="001B5E29"/>
    <w:rsid w:val="001C3470"/>
    <w:rsid w:val="001F15BC"/>
    <w:rsid w:val="001F57C7"/>
    <w:rsid w:val="00220C5A"/>
    <w:rsid w:val="00237E6F"/>
    <w:rsid w:val="002770E6"/>
    <w:rsid w:val="00282823"/>
    <w:rsid w:val="00292B73"/>
    <w:rsid w:val="002D123F"/>
    <w:rsid w:val="002D13BD"/>
    <w:rsid w:val="002F717A"/>
    <w:rsid w:val="002F7EA9"/>
    <w:rsid w:val="003108BD"/>
    <w:rsid w:val="00312731"/>
    <w:rsid w:val="003264BB"/>
    <w:rsid w:val="00331116"/>
    <w:rsid w:val="003324F5"/>
    <w:rsid w:val="0034692B"/>
    <w:rsid w:val="003B3E73"/>
    <w:rsid w:val="003C7C00"/>
    <w:rsid w:val="00421D38"/>
    <w:rsid w:val="00435CA5"/>
    <w:rsid w:val="0043685D"/>
    <w:rsid w:val="0049106F"/>
    <w:rsid w:val="0049309D"/>
    <w:rsid w:val="004B0EB5"/>
    <w:rsid w:val="004B3D35"/>
    <w:rsid w:val="004B61CF"/>
    <w:rsid w:val="004E528D"/>
    <w:rsid w:val="004F4FD2"/>
    <w:rsid w:val="00517997"/>
    <w:rsid w:val="005208A0"/>
    <w:rsid w:val="00550409"/>
    <w:rsid w:val="005542A6"/>
    <w:rsid w:val="005D58EB"/>
    <w:rsid w:val="0061015B"/>
    <w:rsid w:val="00613F1A"/>
    <w:rsid w:val="006875F3"/>
    <w:rsid w:val="00695EDC"/>
    <w:rsid w:val="006A4342"/>
    <w:rsid w:val="006D5F84"/>
    <w:rsid w:val="006D7DF4"/>
    <w:rsid w:val="00701666"/>
    <w:rsid w:val="00715BC4"/>
    <w:rsid w:val="0072499C"/>
    <w:rsid w:val="00774A02"/>
    <w:rsid w:val="00787283"/>
    <w:rsid w:val="00793435"/>
    <w:rsid w:val="007D4DF8"/>
    <w:rsid w:val="007D7944"/>
    <w:rsid w:val="007E3A06"/>
    <w:rsid w:val="0083150E"/>
    <w:rsid w:val="00840540"/>
    <w:rsid w:val="008517A5"/>
    <w:rsid w:val="00865BD7"/>
    <w:rsid w:val="00870269"/>
    <w:rsid w:val="008C41C0"/>
    <w:rsid w:val="008C6A2D"/>
    <w:rsid w:val="008E5C48"/>
    <w:rsid w:val="008F6658"/>
    <w:rsid w:val="00924102"/>
    <w:rsid w:val="00942680"/>
    <w:rsid w:val="009760DD"/>
    <w:rsid w:val="009A62BF"/>
    <w:rsid w:val="009A7C0E"/>
    <w:rsid w:val="009B466B"/>
    <w:rsid w:val="009E2641"/>
    <w:rsid w:val="009E2A0E"/>
    <w:rsid w:val="009E7084"/>
    <w:rsid w:val="009F64F9"/>
    <w:rsid w:val="00A356FC"/>
    <w:rsid w:val="00A4132D"/>
    <w:rsid w:val="00A56538"/>
    <w:rsid w:val="00AB356D"/>
    <w:rsid w:val="00AB7972"/>
    <w:rsid w:val="00B876E3"/>
    <w:rsid w:val="00BB1571"/>
    <w:rsid w:val="00BB3728"/>
    <w:rsid w:val="00BD0CC5"/>
    <w:rsid w:val="00BD77E4"/>
    <w:rsid w:val="00C07355"/>
    <w:rsid w:val="00C11478"/>
    <w:rsid w:val="00C124CC"/>
    <w:rsid w:val="00C20BDF"/>
    <w:rsid w:val="00C93959"/>
    <w:rsid w:val="00CB341D"/>
    <w:rsid w:val="00CC24D2"/>
    <w:rsid w:val="00D04FF9"/>
    <w:rsid w:val="00D31EB3"/>
    <w:rsid w:val="00D55B93"/>
    <w:rsid w:val="00D60BA7"/>
    <w:rsid w:val="00D637C3"/>
    <w:rsid w:val="00DA7944"/>
    <w:rsid w:val="00DB6873"/>
    <w:rsid w:val="00DC5491"/>
    <w:rsid w:val="00E367D4"/>
    <w:rsid w:val="00E93021"/>
    <w:rsid w:val="00EA058C"/>
    <w:rsid w:val="00EA4345"/>
    <w:rsid w:val="00EA65C1"/>
    <w:rsid w:val="00EE2B35"/>
    <w:rsid w:val="00EE36F9"/>
    <w:rsid w:val="00EF58B3"/>
    <w:rsid w:val="00F005CF"/>
    <w:rsid w:val="00F1044E"/>
    <w:rsid w:val="00F20570"/>
    <w:rsid w:val="00F70C50"/>
    <w:rsid w:val="00F9746D"/>
    <w:rsid w:val="00FA2095"/>
    <w:rsid w:val="00FB779F"/>
    <w:rsid w:val="00FD6EBB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767E"/>
  <w15:docId w15:val="{871E5F86-C04F-4564-8ABD-2082DAC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99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gwek3">
    <w:name w:val="heading 3"/>
    <w:basedOn w:val="Normalny"/>
    <w:link w:val="Nagwek3Znak"/>
    <w:uiPriority w:val="9"/>
    <w:qFormat/>
    <w:rsid w:val="00126A9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5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05CF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05CF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05CF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005CF"/>
    <w:rPr>
      <w:rFonts w:ascii="Calibri" w:hAnsi="Calibri" w:cs="Calibri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0CC5"/>
    <w:pPr>
      <w:ind w:left="720"/>
      <w:contextualSpacing/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14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D7DF4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D7DF4"/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0E6"/>
    <w:rPr>
      <w:rFonts w:ascii="Calibri" w:hAnsi="Calibri" w:cs="Calibri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0E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0E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E6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E6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6A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E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frob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ob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frob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czta@frob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frob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2797-B6FC-4B06-A1D5-C7D46090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Łaniewski</dc:creator>
  <cp:lastModifiedBy>Szymon Pater</cp:lastModifiedBy>
  <cp:revision>2</cp:revision>
  <cp:lastPrinted>2019-08-08T10:22:00Z</cp:lastPrinted>
  <dcterms:created xsi:type="dcterms:W3CDTF">2019-10-17T10:26:00Z</dcterms:created>
  <dcterms:modified xsi:type="dcterms:W3CDTF">2019-10-17T10:26:00Z</dcterms:modified>
</cp:coreProperties>
</file>